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00" w:lineRule="exact"/>
        <w:jc w:val="left"/>
        <w:rPr>
          <w:rFonts w:hint="eastAsia" w:ascii="仿宋_GB2312" w:eastAsia="仿宋_GB2312"/>
          <w:sz w:val="32"/>
          <w:szCs w:val="32"/>
          <w:lang w:eastAsia="zh-CN"/>
        </w:rPr>
      </w:pPr>
      <w:r>
        <w:rPr>
          <w:rFonts w:hint="eastAsia" w:ascii="仿宋_GB2312" w:eastAsia="仿宋_GB2312"/>
          <w:sz w:val="32"/>
          <w:szCs w:val="32"/>
        </w:rPr>
        <w:t>附件</w:t>
      </w:r>
      <w:r>
        <w:rPr>
          <w:rFonts w:hint="eastAsia" w:ascii="仿宋_GB2312" w:eastAsia="仿宋_GB2312"/>
          <w:sz w:val="32"/>
          <w:szCs w:val="32"/>
          <w:lang w:val="en-US" w:eastAsia="zh-CN"/>
        </w:rPr>
        <w:t>3</w:t>
      </w:r>
    </w:p>
    <w:p>
      <w:pPr>
        <w:snapToGrid w:val="0"/>
        <w:spacing w:line="600" w:lineRule="exact"/>
        <w:jc w:val="center"/>
        <w:rPr>
          <w:rStyle w:val="14"/>
          <w:rFonts w:ascii="黑体" w:hAnsi="华文中宋" w:eastAsia="黑体"/>
          <w:color w:val="FF0000"/>
          <w:sz w:val="44"/>
          <w:szCs w:val="44"/>
        </w:rPr>
      </w:pPr>
    </w:p>
    <w:p>
      <w:pPr>
        <w:snapToGrid w:val="0"/>
        <w:spacing w:line="600" w:lineRule="exact"/>
        <w:jc w:val="center"/>
        <w:rPr>
          <w:rStyle w:val="14"/>
          <w:rFonts w:ascii="方正小标宋简体" w:eastAsia="方正小标宋简体" w:hAnsiTheme="majorEastAsia"/>
          <w:b w:val="0"/>
          <w:sz w:val="44"/>
          <w:szCs w:val="44"/>
        </w:rPr>
      </w:pPr>
      <w:r>
        <w:rPr>
          <w:rStyle w:val="14"/>
          <w:rFonts w:hint="eastAsia" w:ascii="方正小标宋简体" w:eastAsia="方正小标宋简体" w:hAnsiTheme="majorEastAsia"/>
          <w:b w:val="0"/>
          <w:sz w:val="44"/>
          <w:szCs w:val="44"/>
        </w:rPr>
        <w:t>20</w:t>
      </w:r>
      <w:r>
        <w:rPr>
          <w:rStyle w:val="14"/>
          <w:rFonts w:hint="eastAsia" w:ascii="方正小标宋简体" w:eastAsia="方正小标宋简体" w:hAnsiTheme="majorEastAsia"/>
          <w:b w:val="0"/>
          <w:sz w:val="44"/>
          <w:szCs w:val="44"/>
          <w:lang w:val="en-US"/>
        </w:rPr>
        <w:t>20</w:t>
      </w:r>
      <w:r>
        <w:rPr>
          <w:rStyle w:val="14"/>
          <w:rFonts w:hint="eastAsia" w:ascii="方正小标宋简体" w:eastAsia="方正小标宋简体" w:hAnsiTheme="majorEastAsia"/>
          <w:b w:val="0"/>
          <w:sz w:val="44"/>
          <w:szCs w:val="44"/>
        </w:rPr>
        <w:t>年高唐县公开招聘教师应聘须知</w:t>
      </w:r>
    </w:p>
    <w:p>
      <w:pPr>
        <w:snapToGrid w:val="0"/>
        <w:spacing w:line="600" w:lineRule="exact"/>
        <w:rPr>
          <w:rFonts w:ascii="华文中宋" w:hAnsi="华文中宋" w:eastAsia="华文中宋"/>
          <w:b/>
          <w:sz w:val="44"/>
          <w:szCs w:val="44"/>
        </w:rPr>
      </w:pPr>
    </w:p>
    <w:p>
      <w:pPr>
        <w:snapToGrid w:val="0"/>
        <w:spacing w:line="600" w:lineRule="exact"/>
        <w:ind w:firstLine="630" w:firstLineChars="196"/>
        <w:rPr>
          <w:rFonts w:ascii="楷体_GB2312" w:eastAsia="楷体_GB2312"/>
          <w:b/>
          <w:sz w:val="32"/>
          <w:szCs w:val="20"/>
        </w:rPr>
      </w:pPr>
      <w:r>
        <w:rPr>
          <w:rFonts w:ascii="楷体_GB2312" w:eastAsia="楷体_GB2312"/>
          <w:b/>
          <w:sz w:val="32"/>
          <w:szCs w:val="20"/>
        </w:rPr>
        <w:t>1.</w:t>
      </w:r>
      <w:r>
        <w:rPr>
          <w:rFonts w:hint="eastAsia" w:ascii="楷体_GB2312" w:eastAsia="楷体_GB2312"/>
          <w:b/>
          <w:sz w:val="32"/>
          <w:szCs w:val="20"/>
        </w:rPr>
        <w:t>哪些人员可以应聘？</w:t>
      </w:r>
    </w:p>
    <w:p>
      <w:pPr>
        <w:snapToGrid w:val="0"/>
        <w:spacing w:line="600" w:lineRule="exact"/>
        <w:ind w:firstLine="640" w:firstLineChars="200"/>
        <w:rPr>
          <w:rFonts w:ascii="仿宋" w:hAnsi="仿宋" w:eastAsia="仿宋"/>
          <w:sz w:val="32"/>
          <w:szCs w:val="32"/>
        </w:rPr>
      </w:pPr>
      <w:r>
        <w:rPr>
          <w:rFonts w:hint="eastAsia" w:ascii="仿宋" w:hAnsi="仿宋" w:eastAsia="仿宋"/>
          <w:sz w:val="32"/>
          <w:szCs w:val="32"/>
        </w:rPr>
        <w:t>按照事业单位公开招聘的相关规定，凡符合《</w:t>
      </w:r>
      <w:r>
        <w:rPr>
          <w:rFonts w:ascii="仿宋" w:hAnsi="仿宋" w:eastAsia="仿宋"/>
          <w:sz w:val="32"/>
          <w:szCs w:val="32"/>
        </w:rPr>
        <w:t>20</w:t>
      </w:r>
      <w:r>
        <w:rPr>
          <w:rFonts w:hint="eastAsia" w:ascii="仿宋" w:hAnsi="仿宋" w:eastAsia="仿宋"/>
          <w:sz w:val="32"/>
          <w:szCs w:val="32"/>
          <w:lang w:val="en-US" w:eastAsia="zh-CN"/>
        </w:rPr>
        <w:t>20</w:t>
      </w:r>
      <w:r>
        <w:rPr>
          <w:rFonts w:hint="eastAsia" w:ascii="仿宋" w:hAnsi="仿宋" w:eastAsia="仿宋"/>
          <w:sz w:val="32"/>
          <w:szCs w:val="32"/>
        </w:rPr>
        <w:t>年高唐县公开招聘教师简章》（以下简称《简章》）规定的条件及招聘岗位资格条件者，均可应聘。</w:t>
      </w:r>
    </w:p>
    <w:p>
      <w:pPr>
        <w:snapToGrid w:val="0"/>
        <w:spacing w:line="600" w:lineRule="exact"/>
        <w:ind w:firstLine="640" w:firstLineChars="200"/>
        <w:rPr>
          <w:rFonts w:ascii="仿宋" w:hAnsi="仿宋" w:eastAsia="仿宋"/>
          <w:sz w:val="32"/>
          <w:szCs w:val="32"/>
        </w:rPr>
      </w:pPr>
      <w:r>
        <w:rPr>
          <w:rFonts w:hint="eastAsia" w:ascii="仿宋" w:hAnsi="仿宋" w:eastAsia="仿宋"/>
          <w:sz w:val="32"/>
          <w:szCs w:val="32"/>
        </w:rPr>
        <w:t>根据中共山东省委组织部、山东省人力资源和社会保障厅《关于进一步做好县乡事业单位公开招聘工作的若干意见》（鲁人社规〔</w:t>
      </w:r>
      <w:r>
        <w:rPr>
          <w:rFonts w:ascii="仿宋" w:hAnsi="仿宋" w:eastAsia="仿宋"/>
          <w:sz w:val="32"/>
          <w:szCs w:val="32"/>
        </w:rPr>
        <w:t>2017</w:t>
      </w:r>
      <w:r>
        <w:rPr>
          <w:rFonts w:hint="eastAsia" w:ascii="仿宋" w:hAnsi="仿宋" w:eastAsia="仿宋"/>
          <w:sz w:val="32"/>
          <w:szCs w:val="32"/>
        </w:rPr>
        <w:t>〕</w:t>
      </w:r>
      <w:r>
        <w:rPr>
          <w:rFonts w:ascii="仿宋" w:hAnsi="仿宋" w:eastAsia="仿宋"/>
          <w:sz w:val="32"/>
          <w:szCs w:val="32"/>
        </w:rPr>
        <w:t>21</w:t>
      </w:r>
      <w:r>
        <w:rPr>
          <w:rFonts w:hint="eastAsia" w:ascii="仿宋" w:hAnsi="仿宋" w:eastAsia="仿宋"/>
          <w:sz w:val="32"/>
          <w:szCs w:val="32"/>
        </w:rPr>
        <w:t>号）文件精神，对取得高级工、技师职业资格的高级技校或技师学院全日制毕业生，可按全日制高职（大专）、本科毕业生应聘符合条件的岗位。</w:t>
      </w:r>
      <w:r>
        <w:rPr>
          <w:rFonts w:ascii="仿宋" w:hAnsi="仿宋" w:eastAsia="仿宋"/>
          <w:sz w:val="32"/>
          <w:szCs w:val="32"/>
        </w:rPr>
        <w:t xml:space="preserve"> </w:t>
      </w:r>
    </w:p>
    <w:p>
      <w:pPr>
        <w:snapToGrid w:val="0"/>
        <w:spacing w:line="600" w:lineRule="exact"/>
        <w:ind w:firstLine="630" w:firstLineChars="196"/>
        <w:rPr>
          <w:rFonts w:ascii="楷体_GB2312" w:eastAsia="楷体_GB2312"/>
          <w:b/>
          <w:sz w:val="32"/>
          <w:szCs w:val="20"/>
        </w:rPr>
      </w:pPr>
      <w:r>
        <w:rPr>
          <w:rFonts w:ascii="楷体_GB2312" w:eastAsia="楷体_GB2312"/>
          <w:b/>
          <w:sz w:val="32"/>
          <w:szCs w:val="20"/>
        </w:rPr>
        <w:t>2.</w:t>
      </w:r>
      <w:r>
        <w:rPr>
          <w:rFonts w:hint="eastAsia" w:ascii="楷体_GB2312" w:eastAsia="楷体_GB2312"/>
          <w:b/>
          <w:sz w:val="32"/>
          <w:szCs w:val="20"/>
        </w:rPr>
        <w:t>哪些人员不能应聘？</w:t>
      </w:r>
    </w:p>
    <w:p>
      <w:pPr>
        <w:snapToGrid w:val="0"/>
        <w:spacing w:line="600" w:lineRule="exact"/>
        <w:ind w:firstLine="640" w:firstLineChars="200"/>
        <w:rPr>
          <w:rFonts w:hint="eastAsia" w:ascii="仿宋" w:hAnsi="仿宋" w:eastAsia="仿宋"/>
          <w:sz w:val="32"/>
          <w:szCs w:val="32"/>
        </w:rPr>
      </w:pPr>
      <w:r>
        <w:rPr>
          <w:rFonts w:hint="eastAsia" w:ascii="仿宋" w:hAnsi="仿宋" w:eastAsia="仿宋"/>
          <w:sz w:val="32"/>
          <w:szCs w:val="32"/>
        </w:rPr>
        <w:t>曾受过刑事处罚和曾被开除公职的人员、在读全日制普通高校非应届毕业生、现役军人以及法律法规规定不得聘用的其他情形人员不得应聘，在读全日制普通高校非应届毕业生不能用已取得的学历学位作为条件应聘。</w:t>
      </w:r>
    </w:p>
    <w:p>
      <w:pPr>
        <w:snapToGrid w:val="0"/>
        <w:spacing w:line="600" w:lineRule="exact"/>
        <w:ind w:firstLine="640" w:firstLineChars="200"/>
        <w:rPr>
          <w:rFonts w:hint="eastAsia" w:ascii="仿宋" w:hAnsi="仿宋" w:eastAsia="仿宋"/>
          <w:sz w:val="32"/>
          <w:szCs w:val="32"/>
        </w:rPr>
      </w:pPr>
      <w:r>
        <w:rPr>
          <w:rFonts w:hint="eastAsia" w:ascii="仿宋" w:hAnsi="仿宋" w:eastAsia="仿宋"/>
          <w:sz w:val="32"/>
          <w:szCs w:val="32"/>
        </w:rPr>
        <w:t>应聘人员不得应聘《事业单位人事管理回避规定》(人社部规〔2019〕1号)中应回避情形的岗位。</w:t>
      </w:r>
    </w:p>
    <w:p>
      <w:pPr>
        <w:snapToGrid w:val="0"/>
        <w:spacing w:line="580" w:lineRule="exact"/>
        <w:ind w:firstLine="630" w:firstLineChars="196"/>
        <w:rPr>
          <w:rFonts w:ascii="楷体_GB2312" w:eastAsia="楷体_GB2312"/>
          <w:b/>
          <w:sz w:val="32"/>
          <w:szCs w:val="20"/>
        </w:rPr>
      </w:pPr>
      <w:r>
        <w:rPr>
          <w:rFonts w:ascii="楷体_GB2312" w:eastAsia="楷体_GB2312"/>
          <w:b/>
          <w:sz w:val="32"/>
          <w:szCs w:val="20"/>
        </w:rPr>
        <w:t>3.</w:t>
      </w:r>
      <w:r>
        <w:rPr>
          <w:rFonts w:hint="eastAsia" w:ascii="楷体_GB2312" w:eastAsia="楷体_GB2312"/>
          <w:b/>
          <w:sz w:val="32"/>
          <w:szCs w:val="20"/>
        </w:rPr>
        <w:t>对学历、户籍及相关证书取得时间有什么要求？</w:t>
      </w:r>
    </w:p>
    <w:p>
      <w:pPr>
        <w:pStyle w:val="7"/>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40" w:lineRule="atLeast"/>
        <w:ind w:firstLine="640" w:firstLineChars="200"/>
        <w:textAlignment w:val="auto"/>
        <w:rPr>
          <w:rFonts w:hint="eastAsia" w:ascii="仿宋_GB2312" w:hAnsi="仿宋" w:eastAsia="仿宋_GB2312" w:cs="仿宋_GB2312"/>
          <w:color w:val="000000"/>
          <w:sz w:val="32"/>
          <w:szCs w:val="32"/>
          <w:lang w:val="en-US" w:eastAsia="zh-CN"/>
        </w:rPr>
      </w:pPr>
      <w:r>
        <w:rPr>
          <w:rFonts w:hint="eastAsia" w:ascii="仿宋_GB2312" w:eastAsia="仿宋_GB2312"/>
          <w:sz w:val="32"/>
          <w:szCs w:val="32"/>
        </w:rPr>
        <w:t>2020届普通高校应届毕业生须在2020年</w:t>
      </w:r>
      <w:r>
        <w:rPr>
          <w:rFonts w:hint="eastAsia" w:ascii="仿宋_GB2312" w:eastAsia="仿宋_GB2312"/>
          <w:sz w:val="32"/>
          <w:szCs w:val="32"/>
          <w:lang w:val="en-US" w:eastAsia="zh-CN"/>
        </w:rPr>
        <w:t>8</w:t>
      </w:r>
      <w:r>
        <w:rPr>
          <w:rFonts w:hint="eastAsia" w:ascii="仿宋_GB2312" w:eastAsia="仿宋_GB2312"/>
          <w:sz w:val="32"/>
          <w:szCs w:val="32"/>
        </w:rPr>
        <w:t>月</w:t>
      </w:r>
      <w:r>
        <w:rPr>
          <w:rFonts w:hint="eastAsia" w:ascii="仿宋_GB2312" w:eastAsia="仿宋_GB2312"/>
          <w:sz w:val="32"/>
          <w:szCs w:val="32"/>
          <w:lang w:val="en-US" w:eastAsia="zh-CN"/>
        </w:rPr>
        <w:t>25</w:t>
      </w:r>
      <w:r>
        <w:rPr>
          <w:rFonts w:hint="eastAsia" w:ascii="仿宋_GB2312" w:eastAsia="仿宋_GB2312"/>
          <w:sz w:val="32"/>
          <w:szCs w:val="32"/>
        </w:rPr>
        <w:t>日前取得应聘岗位要求的学历证书、相应学位证书</w:t>
      </w:r>
      <w:r>
        <w:rPr>
          <w:rFonts w:hint="eastAsia" w:ascii="仿宋_GB2312" w:eastAsia="仿宋_GB2312"/>
          <w:sz w:val="32"/>
          <w:szCs w:val="32"/>
          <w:lang w:eastAsia="zh-CN"/>
        </w:rPr>
        <w:t>；</w:t>
      </w:r>
      <w:r>
        <w:rPr>
          <w:rFonts w:hint="eastAsia" w:ascii="仿宋_GB2312" w:hAnsi="仿宋" w:eastAsia="仿宋_GB2312" w:cs="仿宋_GB2312"/>
          <w:color w:val="000000"/>
          <w:kern w:val="0"/>
          <w:sz w:val="32"/>
          <w:szCs w:val="32"/>
          <w:lang w:val="en-US" w:eastAsia="zh-CN" w:bidi="ar-SA"/>
        </w:rPr>
        <w:t>根据人社部、教育部等七部委《关于应对新冠肺炎疫情影响实施部分职业资格“先上岗、再考证”阶段性措施的通知》(人社</w:t>
      </w:r>
      <w:r>
        <w:rPr>
          <w:rFonts w:hint="eastAsia" w:ascii="仿宋_GB2312" w:hAnsi="仿宋" w:eastAsia="仿宋_GB2312" w:cs="仿宋_GB2312"/>
          <w:color w:val="000000"/>
          <w:sz w:val="32"/>
          <w:szCs w:val="32"/>
        </w:rPr>
        <w:t>部发〔2020〕24号)通知要求，对2020届高校毕业生以及择业期内(2018届和2019届)尚未落实工作单位且未取得招聘岗位要求的教师资格证书的高校毕业生，实行“先上岗、再考证”阶段性措施，即招聘单位与聘用人员签订聘用合同，按规定约定1年试用期;聘用人员在试用期内未取得相应教师资格证书的，依法解除聘用合同。</w:t>
      </w:r>
    </w:p>
    <w:p>
      <w:pPr>
        <w:pStyle w:val="7"/>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40" w:lineRule="atLeast"/>
        <w:ind w:firstLine="640" w:firstLineChars="200"/>
        <w:textAlignment w:val="auto"/>
        <w:rPr>
          <w:rFonts w:hint="eastAsia" w:ascii="仿宋_GB2312" w:hAnsi="宋体" w:eastAsia="仿宋_GB2312"/>
          <w:sz w:val="32"/>
          <w:szCs w:val="32"/>
          <w:lang w:val="en-US" w:eastAsia="zh-CN"/>
        </w:rPr>
      </w:pPr>
      <w:r>
        <w:rPr>
          <w:rFonts w:hint="eastAsia" w:ascii="仿宋_GB2312" w:eastAsia="仿宋_GB2312"/>
          <w:sz w:val="32"/>
          <w:szCs w:val="32"/>
        </w:rPr>
        <w:t>其他应聘人员须在2020年</w:t>
      </w:r>
      <w:r>
        <w:rPr>
          <w:rFonts w:hint="eastAsia" w:ascii="仿宋_GB2312" w:eastAsia="仿宋_GB2312"/>
          <w:sz w:val="32"/>
          <w:szCs w:val="32"/>
          <w:lang w:val="en-US" w:eastAsia="zh-CN"/>
        </w:rPr>
        <w:t>8</w:t>
      </w:r>
      <w:r>
        <w:rPr>
          <w:rFonts w:hint="eastAsia" w:ascii="仿宋_GB2312" w:eastAsia="仿宋_GB2312"/>
          <w:sz w:val="32"/>
          <w:szCs w:val="32"/>
        </w:rPr>
        <w:t>月</w:t>
      </w:r>
      <w:r>
        <w:rPr>
          <w:rFonts w:hint="eastAsia" w:ascii="仿宋_GB2312" w:eastAsia="仿宋_GB2312"/>
          <w:sz w:val="32"/>
          <w:szCs w:val="32"/>
          <w:lang w:val="en-US" w:eastAsia="zh-CN"/>
        </w:rPr>
        <w:t>25</w:t>
      </w:r>
      <w:r>
        <w:rPr>
          <w:rFonts w:hint="eastAsia" w:ascii="仿宋_GB2312" w:eastAsia="仿宋_GB2312"/>
          <w:sz w:val="32"/>
          <w:szCs w:val="32"/>
        </w:rPr>
        <w:t>日前取得国家承认的学历、相关证书</w:t>
      </w:r>
      <w:r>
        <w:rPr>
          <w:rFonts w:hint="eastAsia" w:ascii="仿宋_GB2312" w:hAnsi="宋体" w:eastAsia="仿宋_GB2312"/>
          <w:sz w:val="32"/>
          <w:szCs w:val="32"/>
        </w:rPr>
        <w:t>（含根据聊人字〔2006〕17号文件规定取得的学历及相关证书</w:t>
      </w:r>
      <w:r>
        <w:rPr>
          <w:rFonts w:hint="eastAsia" w:ascii="仿宋_GB2312" w:eastAsia="仿宋_GB2312"/>
          <w:sz w:val="32"/>
          <w:szCs w:val="32"/>
          <w:lang w:eastAsia="zh-CN"/>
        </w:rPr>
        <w:t>）。</w:t>
      </w:r>
    </w:p>
    <w:p>
      <w:pPr>
        <w:pStyle w:val="7"/>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40" w:lineRule="atLeast"/>
        <w:ind w:firstLine="640" w:firstLineChars="200"/>
        <w:textAlignment w:val="auto"/>
        <w:rPr>
          <w:rFonts w:ascii="华文仿宋" w:hAnsi="华文仿宋" w:eastAsia="华文仿宋"/>
          <w:color w:val="333333"/>
          <w:sz w:val="32"/>
          <w:szCs w:val="32"/>
        </w:rPr>
      </w:pPr>
      <w:r>
        <w:rPr>
          <w:rFonts w:hint="eastAsia" w:ascii="仿宋_GB2312" w:eastAsia="仿宋_GB2312"/>
          <w:sz w:val="32"/>
          <w:szCs w:val="32"/>
          <w:lang w:val="en-US" w:eastAsia="zh-CN"/>
        </w:rPr>
        <w:t>报考有户籍限制的岗位，</w:t>
      </w:r>
      <w:r>
        <w:rPr>
          <w:rFonts w:hint="eastAsia" w:ascii="仿宋_GB2312" w:eastAsia="仿宋_GB2312"/>
          <w:sz w:val="32"/>
          <w:szCs w:val="32"/>
        </w:rPr>
        <w:t>须在</w:t>
      </w:r>
      <w:r>
        <w:rPr>
          <w:rFonts w:hint="eastAsia" w:ascii="仿宋_GB2312" w:eastAsia="仿宋_GB2312"/>
          <w:sz w:val="32"/>
          <w:szCs w:val="32"/>
          <w:lang w:eastAsia="zh-CN"/>
        </w:rPr>
        <w:t>第二批次报名之日前</w:t>
      </w:r>
      <w:r>
        <w:rPr>
          <w:rFonts w:hint="eastAsia" w:ascii="仿宋_GB2312" w:eastAsia="仿宋_GB2312"/>
          <w:sz w:val="32"/>
          <w:szCs w:val="32"/>
        </w:rPr>
        <w:t>取得高唐户籍</w:t>
      </w:r>
      <w:r>
        <w:rPr>
          <w:rFonts w:hint="eastAsia" w:ascii="华文仿宋" w:hAnsi="华文仿宋" w:eastAsia="华文仿宋"/>
          <w:color w:val="333333"/>
          <w:sz w:val="32"/>
          <w:szCs w:val="32"/>
        </w:rPr>
        <w:t>。</w:t>
      </w:r>
    </w:p>
    <w:p>
      <w:pPr>
        <w:snapToGrid w:val="0"/>
        <w:spacing w:line="600" w:lineRule="exact"/>
        <w:ind w:firstLine="630" w:firstLineChars="196"/>
        <w:rPr>
          <w:rFonts w:ascii="楷体_GB2312" w:eastAsia="楷体_GB2312"/>
          <w:b/>
          <w:sz w:val="32"/>
          <w:szCs w:val="20"/>
        </w:rPr>
      </w:pPr>
      <w:r>
        <w:rPr>
          <w:rFonts w:hint="eastAsia" w:ascii="楷体_GB2312" w:eastAsia="楷体_GB2312"/>
          <w:b/>
          <w:sz w:val="32"/>
          <w:szCs w:val="20"/>
        </w:rPr>
        <w:t>4</w:t>
      </w:r>
      <w:r>
        <w:rPr>
          <w:rFonts w:ascii="楷体_GB2312" w:eastAsia="楷体_GB2312"/>
          <w:b/>
          <w:sz w:val="32"/>
          <w:szCs w:val="20"/>
        </w:rPr>
        <w:t>.</w:t>
      </w:r>
      <w:r>
        <w:rPr>
          <w:rFonts w:hint="eastAsia" w:ascii="楷体_GB2312" w:eastAsia="楷体_GB2312"/>
          <w:b/>
          <w:sz w:val="32"/>
          <w:szCs w:val="20"/>
        </w:rPr>
        <w:t>如何界定应聘人员所学专业？</w:t>
      </w:r>
    </w:p>
    <w:p>
      <w:pPr>
        <w:snapToGrid w:val="0"/>
        <w:spacing w:line="600" w:lineRule="exact"/>
        <w:ind w:firstLine="627" w:firstLineChars="196"/>
        <w:rPr>
          <w:rFonts w:ascii="仿宋_GB2312" w:eastAsia="仿宋_GB2312"/>
          <w:color w:val="FF6600"/>
          <w:sz w:val="32"/>
          <w:szCs w:val="32"/>
        </w:rPr>
      </w:pPr>
      <w:r>
        <w:rPr>
          <w:rFonts w:hint="eastAsia" w:ascii="仿宋_GB2312" w:eastAsia="仿宋_GB2312"/>
          <w:sz w:val="32"/>
          <w:szCs w:val="32"/>
        </w:rPr>
        <w:t>以应聘人员所获毕业证书上注明的专业为准。</w:t>
      </w:r>
    </w:p>
    <w:p>
      <w:pPr>
        <w:snapToGrid w:val="0"/>
        <w:spacing w:line="600" w:lineRule="exact"/>
        <w:ind w:firstLine="630" w:firstLineChars="196"/>
        <w:rPr>
          <w:rFonts w:hint="eastAsia" w:ascii="楷体_GB2312" w:eastAsia="楷体_GB2312"/>
          <w:b/>
          <w:sz w:val="32"/>
          <w:szCs w:val="20"/>
        </w:rPr>
      </w:pPr>
      <w:r>
        <w:rPr>
          <w:rFonts w:hint="eastAsia" w:ascii="楷体_GB2312" w:eastAsia="楷体_GB2312"/>
          <w:b/>
          <w:sz w:val="32"/>
          <w:szCs w:val="20"/>
        </w:rPr>
        <w:t>5.本次招聘中“应届毕业生”如何界定？</w:t>
      </w:r>
    </w:p>
    <w:p>
      <w:pPr>
        <w:autoSpaceDE w:val="0"/>
        <w:spacing w:line="520" w:lineRule="exact"/>
        <w:ind w:firstLine="600" w:firstLineChars="200"/>
        <w:jc w:val="left"/>
        <w:rPr>
          <w:rFonts w:hint="eastAsia" w:ascii="仿宋" w:hAnsi="仿宋" w:eastAsia="仿宋" w:cs="仿宋_GB2312"/>
          <w:color w:val="000000"/>
          <w:sz w:val="30"/>
          <w:szCs w:val="30"/>
          <w:lang w:bidi="ar"/>
        </w:rPr>
      </w:pPr>
      <w:r>
        <w:rPr>
          <w:rFonts w:hint="eastAsia" w:ascii="仿宋" w:hAnsi="仿宋" w:eastAsia="仿宋" w:cs="仿宋_GB2312"/>
          <w:color w:val="000000"/>
          <w:sz w:val="30"/>
          <w:szCs w:val="30"/>
          <w:lang w:bidi="ar"/>
        </w:rPr>
        <w:t>本次招聘中的应届毕业生，是指在国内普通高等学校或承担研究生教育任务的科学研究机构中，由国家统一招生且就读期间个人档案、组织关系保管在就读院校（或科研机构）于2020年毕业的学生。</w:t>
      </w:r>
    </w:p>
    <w:p>
      <w:pPr>
        <w:snapToGrid w:val="0"/>
        <w:spacing w:line="600" w:lineRule="exact"/>
        <w:ind w:firstLine="630" w:firstLineChars="196"/>
        <w:rPr>
          <w:rFonts w:hint="eastAsia" w:ascii="楷体_GB2312" w:eastAsia="楷体_GB2312"/>
          <w:b/>
          <w:sz w:val="32"/>
          <w:szCs w:val="20"/>
        </w:rPr>
      </w:pPr>
      <w:r>
        <w:rPr>
          <w:rFonts w:hint="eastAsia" w:ascii="楷体_GB2312" w:eastAsia="楷体_GB2312"/>
          <w:b/>
          <w:sz w:val="32"/>
          <w:szCs w:val="20"/>
          <w:lang w:val="en-US" w:eastAsia="zh-CN"/>
        </w:rPr>
        <w:t>6</w:t>
      </w:r>
      <w:r>
        <w:rPr>
          <w:rFonts w:hint="eastAsia" w:ascii="楷体_GB2312" w:eastAsia="楷体_GB2312"/>
          <w:b/>
          <w:sz w:val="32"/>
          <w:szCs w:val="20"/>
        </w:rPr>
        <w:t>.2018年、2019年普通高校毕业生可否以应届毕业生的身份报考？</w:t>
      </w:r>
    </w:p>
    <w:p>
      <w:pPr>
        <w:autoSpaceDE w:val="0"/>
        <w:spacing w:line="520" w:lineRule="exact"/>
        <w:ind w:firstLine="600" w:firstLineChars="200"/>
        <w:jc w:val="left"/>
        <w:rPr>
          <w:rFonts w:hint="eastAsia" w:ascii="仿宋" w:hAnsi="仿宋" w:eastAsia="仿宋" w:cs="仿宋_GB2312"/>
          <w:color w:val="000000"/>
          <w:sz w:val="30"/>
          <w:szCs w:val="30"/>
          <w:lang w:bidi="ar"/>
        </w:rPr>
      </w:pPr>
      <w:r>
        <w:rPr>
          <w:rFonts w:hint="eastAsia" w:ascii="仿宋" w:hAnsi="仿宋" w:eastAsia="仿宋" w:cs="仿宋_GB2312"/>
          <w:color w:val="000000"/>
          <w:sz w:val="30"/>
          <w:szCs w:val="30"/>
          <w:lang w:bidi="ar"/>
        </w:rPr>
        <w:t>国家统一招生的普通高校毕业生离校时和在择业期内（国家规定择业期为二年）未落实工作单位，其档案、组织关系仍保留在原毕业学校，或保留在各级毕业生就业主管部门（毕业生就业指导服务中心）、各级人才交流服务机构和各级公共就业服务机构的毕业生，可以报考限应届毕业生报考岗位。</w:t>
      </w:r>
    </w:p>
    <w:p>
      <w:pPr>
        <w:autoSpaceDE w:val="0"/>
        <w:spacing w:line="520" w:lineRule="exact"/>
        <w:ind w:firstLine="600" w:firstLineChars="200"/>
        <w:jc w:val="left"/>
        <w:rPr>
          <w:rFonts w:hint="eastAsia" w:ascii="仿宋" w:hAnsi="仿宋" w:eastAsia="仿宋" w:cs="仿宋_GB2312"/>
          <w:color w:val="000000"/>
          <w:sz w:val="30"/>
          <w:szCs w:val="30"/>
          <w:lang w:bidi="ar"/>
        </w:rPr>
      </w:pPr>
      <w:r>
        <w:rPr>
          <w:rFonts w:hint="eastAsia" w:ascii="仿宋" w:hAnsi="仿宋" w:eastAsia="仿宋" w:cs="仿宋_GB2312"/>
          <w:color w:val="000000"/>
          <w:sz w:val="30"/>
          <w:szCs w:val="30"/>
          <w:lang w:bidi="ar"/>
        </w:rPr>
        <w:t xml:space="preserve"> 在国(境）外教学科研机构学习，与国（境）内高校应届毕业生同期毕业的留学回国人员（含择业期内未落实工作单位的），可以报考限应届毕业生报考岗位。</w:t>
      </w:r>
    </w:p>
    <w:p>
      <w:pPr>
        <w:snapToGrid w:val="0"/>
        <w:spacing w:line="540" w:lineRule="exact"/>
        <w:ind w:firstLine="643" w:firstLineChars="200"/>
        <w:rPr>
          <w:rFonts w:ascii="楷体_GB2312" w:eastAsia="楷体_GB2312"/>
          <w:b/>
          <w:sz w:val="32"/>
          <w:szCs w:val="32"/>
        </w:rPr>
      </w:pPr>
      <w:r>
        <w:rPr>
          <w:rFonts w:hint="eastAsia" w:ascii="楷体_GB2312" w:eastAsia="楷体_GB2312"/>
          <w:b/>
          <w:sz w:val="32"/>
          <w:szCs w:val="20"/>
          <w:lang w:val="en-US" w:eastAsia="zh-CN"/>
        </w:rPr>
        <w:t>7</w:t>
      </w:r>
      <w:r>
        <w:rPr>
          <w:rFonts w:ascii="楷体_GB2312" w:eastAsia="楷体_GB2312"/>
          <w:b/>
          <w:sz w:val="32"/>
          <w:szCs w:val="20"/>
        </w:rPr>
        <w:t>.</w:t>
      </w:r>
      <w:r>
        <w:rPr>
          <w:rFonts w:hint="eastAsia" w:ascii="楷体_GB2312" w:eastAsia="楷体_GB2312"/>
          <w:b/>
          <w:sz w:val="32"/>
        </w:rPr>
        <w:t>留学回国人员应聘需要提供哪些材料？</w:t>
      </w:r>
      <w:r>
        <w:rPr>
          <w:rFonts w:ascii="楷体_GB2312" w:eastAsia="楷体_GB2312"/>
          <w:b/>
          <w:sz w:val="32"/>
          <w:szCs w:val="32"/>
        </w:rPr>
        <w:t xml:space="preserve"> </w:t>
      </w:r>
    </w:p>
    <w:p>
      <w:pPr>
        <w:adjustRightInd w:val="0"/>
        <w:snapToGrid w:val="0"/>
        <w:spacing w:line="540" w:lineRule="exact"/>
        <w:ind w:firstLine="640" w:firstLineChars="200"/>
        <w:rPr>
          <w:rFonts w:ascii="仿宋_GB2312" w:eastAsia="仿宋_GB2312"/>
          <w:sz w:val="32"/>
          <w:szCs w:val="32"/>
        </w:rPr>
      </w:pPr>
      <w:r>
        <w:rPr>
          <w:rFonts w:hint="eastAsia" w:ascii="仿宋" w:hAnsi="仿宋" w:eastAsia="仿宋"/>
          <w:sz w:val="32"/>
          <w:szCs w:val="32"/>
        </w:rPr>
        <w:t>留学回国人员应聘的，除需提供《简章》中规定的相关材料外，还要出具国家教育部门的学历学位认证。报考人员可登录教育部留学服务中心网站（</w:t>
      </w:r>
      <w:r>
        <w:rPr>
          <w:rFonts w:ascii="仿宋" w:hAnsi="仿宋" w:eastAsia="仿宋"/>
          <w:sz w:val="32"/>
          <w:szCs w:val="32"/>
        </w:rPr>
        <w:t>http://www.cscse.edu.cn</w:t>
      </w:r>
      <w:r>
        <w:rPr>
          <w:rFonts w:hint="eastAsia" w:ascii="仿宋" w:hAnsi="仿宋" w:eastAsia="仿宋"/>
          <w:sz w:val="32"/>
          <w:szCs w:val="32"/>
        </w:rPr>
        <w:t>）查询认证的有关要求和程序。</w:t>
      </w:r>
    </w:p>
    <w:p>
      <w:pPr>
        <w:pStyle w:val="15"/>
        <w:spacing w:line="600" w:lineRule="exact"/>
        <w:ind w:firstLine="624"/>
        <w:rPr>
          <w:rFonts w:ascii="楷体_GB2312" w:eastAsia="楷体_GB2312"/>
          <w:b/>
          <w:sz w:val="32"/>
        </w:rPr>
      </w:pPr>
      <w:r>
        <w:rPr>
          <w:rFonts w:hint="eastAsia" w:ascii="楷体_GB2312" w:eastAsia="楷体_GB2312"/>
          <w:b/>
          <w:sz w:val="32"/>
          <w:lang w:val="en-US" w:eastAsia="zh-CN"/>
        </w:rPr>
        <w:t>8</w:t>
      </w:r>
      <w:r>
        <w:rPr>
          <w:rFonts w:ascii="楷体_GB2312" w:eastAsia="楷体_GB2312"/>
          <w:b/>
          <w:sz w:val="32"/>
        </w:rPr>
        <w:t>.</w:t>
      </w:r>
      <w:r>
        <w:rPr>
          <w:rFonts w:hint="eastAsia" w:ascii="楷体_GB2312" w:eastAsia="楷体_GB2312"/>
          <w:b/>
          <w:sz w:val="32"/>
        </w:rPr>
        <w:t>报考人员在网上提供的照片有什么要求？</w:t>
      </w:r>
    </w:p>
    <w:p>
      <w:pPr>
        <w:widowControl/>
        <w:spacing w:line="520" w:lineRule="exact"/>
        <w:ind w:firstLine="570" w:firstLineChars="190"/>
        <w:rPr>
          <w:rFonts w:hint="eastAsia" w:ascii="仿宋" w:hAnsi="仿宋" w:eastAsia="仿宋" w:cs="仿宋_GB2312"/>
          <w:color w:val="000000"/>
          <w:kern w:val="0"/>
          <w:sz w:val="30"/>
          <w:szCs w:val="30"/>
        </w:rPr>
      </w:pPr>
      <w:r>
        <w:rPr>
          <w:rFonts w:hint="eastAsia" w:ascii="仿宋" w:hAnsi="仿宋" w:eastAsia="仿宋" w:cs="仿宋_GB2312"/>
          <w:color w:val="000000"/>
          <w:sz w:val="30"/>
          <w:szCs w:val="30"/>
        </w:rPr>
        <w:t>应聘人员在网上报名时提供的照片必须是近期正面免冠大头数码彩色照片（头部占照片尺寸的2/3，</w:t>
      </w:r>
      <w:r>
        <w:rPr>
          <w:rFonts w:hint="eastAsia" w:ascii="仿宋" w:hAnsi="仿宋" w:eastAsia="仿宋" w:cs="仿宋_GB2312"/>
          <w:color w:val="000000"/>
          <w:kern w:val="0"/>
          <w:sz w:val="30"/>
          <w:szCs w:val="30"/>
        </w:rPr>
        <w:t>面部正面头发不得过眉，露双耳</w:t>
      </w:r>
      <w:r>
        <w:rPr>
          <w:rFonts w:hint="eastAsia" w:ascii="仿宋" w:hAnsi="仿宋" w:eastAsia="仿宋" w:cs="仿宋_GB2312"/>
          <w:color w:val="000000"/>
          <w:sz w:val="30"/>
          <w:szCs w:val="30"/>
        </w:rPr>
        <w:t>，</w:t>
      </w:r>
      <w:r>
        <w:rPr>
          <w:rFonts w:hint="eastAsia" w:ascii="仿宋" w:hAnsi="仿宋" w:eastAsia="仿宋" w:cs="仿宋_GB2312"/>
          <w:color w:val="000000"/>
          <w:kern w:val="0"/>
          <w:sz w:val="30"/>
          <w:szCs w:val="30"/>
        </w:rPr>
        <w:t>不得佩戴首饰</w:t>
      </w:r>
      <w:r>
        <w:rPr>
          <w:rFonts w:hint="eastAsia" w:ascii="仿宋" w:hAnsi="仿宋" w:eastAsia="仿宋" w:cs="仿宋_GB2312"/>
          <w:color w:val="000000"/>
          <w:sz w:val="30"/>
          <w:szCs w:val="30"/>
        </w:rPr>
        <w:t>），确保照片清晰、明亮、不变形</w:t>
      </w:r>
      <w:r>
        <w:rPr>
          <w:rFonts w:hint="eastAsia" w:ascii="仿宋" w:hAnsi="仿宋" w:eastAsia="仿宋" w:cs="仿宋_GB2312"/>
          <w:color w:val="000000"/>
          <w:kern w:val="0"/>
          <w:sz w:val="30"/>
          <w:szCs w:val="30"/>
        </w:rPr>
        <w:t>、可辨认</w:t>
      </w:r>
      <w:r>
        <w:rPr>
          <w:rFonts w:hint="eastAsia" w:ascii="仿宋" w:hAnsi="仿宋" w:eastAsia="仿宋" w:cs="仿宋_GB2312"/>
          <w:color w:val="000000"/>
          <w:sz w:val="30"/>
          <w:szCs w:val="30"/>
        </w:rPr>
        <w:t>。规格：分辨率120像素(宽)X160像素(高)，文件大小不超过20KB，文件类型为JPG格式（如果没有数码照，建议考生到照相馆拍照获取照片）。</w:t>
      </w:r>
      <w:r>
        <w:rPr>
          <w:rFonts w:hint="eastAsia" w:ascii="仿宋" w:hAnsi="仿宋" w:eastAsia="仿宋" w:cs="仿宋_GB2312"/>
          <w:color w:val="000000"/>
          <w:kern w:val="0"/>
          <w:sz w:val="30"/>
          <w:szCs w:val="30"/>
        </w:rPr>
        <w:t>凡因照片不符合要求导致无法进行网上审核、现场确认、影响正常参加考试的，后果由考生自负。</w:t>
      </w:r>
    </w:p>
    <w:p>
      <w:pPr>
        <w:pStyle w:val="15"/>
        <w:spacing w:line="600" w:lineRule="exact"/>
        <w:ind w:firstLine="624"/>
        <w:rPr>
          <w:rFonts w:hint="eastAsia" w:ascii="楷体_GB2312" w:eastAsia="楷体_GB2312"/>
          <w:b/>
          <w:sz w:val="32"/>
          <w:lang w:val="en-US" w:eastAsia="zh-CN"/>
        </w:rPr>
      </w:pPr>
      <w:r>
        <w:rPr>
          <w:rFonts w:hint="eastAsia" w:ascii="楷体_GB2312" w:eastAsia="楷体_GB2312"/>
          <w:b/>
          <w:sz w:val="32"/>
          <w:lang w:val="en-US" w:eastAsia="zh-CN"/>
        </w:rPr>
        <w:t>9.哪些人员可以报考定向招聘岗位?</w:t>
      </w:r>
    </w:p>
    <w:p>
      <w:pPr>
        <w:snapToGrid w:val="0"/>
        <w:spacing w:line="520" w:lineRule="exact"/>
        <w:ind w:firstLine="600" w:firstLineChars="200"/>
        <w:rPr>
          <w:rFonts w:hint="eastAsia" w:ascii="仿宋" w:hAnsi="仿宋" w:eastAsia="仿宋" w:cs="仿宋_GB2312"/>
          <w:color w:val="000000"/>
          <w:sz w:val="30"/>
          <w:szCs w:val="30"/>
        </w:rPr>
      </w:pPr>
      <w:r>
        <w:rPr>
          <w:rFonts w:hint="eastAsia" w:ascii="仿宋" w:hAnsi="仿宋" w:eastAsia="仿宋" w:cs="仿宋_GB2312"/>
          <w:color w:val="000000"/>
          <w:sz w:val="30"/>
          <w:szCs w:val="30"/>
        </w:rPr>
        <w:t>根据国家和省里有关规定，由我省统一组织招募和选派的“三支一扶”计划、“大学生志愿服务西部计划”等服务基层项目人员，服务满2年、考核合格，3年内（</w:t>
      </w:r>
      <w:r>
        <w:rPr>
          <w:rFonts w:hint="eastAsia" w:ascii="仿宋" w:hAnsi="仿宋" w:eastAsia="仿宋" w:cs="仿宋_GB2312"/>
          <w:color w:val="000000"/>
          <w:sz w:val="30"/>
          <w:szCs w:val="30"/>
          <w:shd w:val="clear" w:color="auto" w:fill="FFFFFF"/>
        </w:rPr>
        <w:t>指2016年、2017年、2018年招募和选派人员，其中，“三支一扶”计划为2016年招募人员</w:t>
      </w:r>
      <w:r>
        <w:rPr>
          <w:rFonts w:hint="eastAsia" w:ascii="仿宋" w:hAnsi="仿宋" w:eastAsia="仿宋" w:cs="仿宋_GB2312"/>
          <w:color w:val="000000"/>
          <w:sz w:val="30"/>
          <w:szCs w:val="30"/>
        </w:rPr>
        <w:t>）报考的，实行定向招聘，符合条件的人员可以报考定向招聘岗位。</w:t>
      </w:r>
    </w:p>
    <w:p>
      <w:pPr>
        <w:snapToGrid w:val="0"/>
        <w:spacing w:line="520" w:lineRule="exact"/>
        <w:ind w:firstLine="600" w:firstLineChars="200"/>
        <w:rPr>
          <w:rFonts w:hint="eastAsia" w:ascii="仿宋" w:hAnsi="仿宋" w:eastAsia="仿宋" w:cs="仿宋_GB2312"/>
          <w:color w:val="000000"/>
          <w:sz w:val="30"/>
          <w:szCs w:val="30"/>
        </w:rPr>
      </w:pPr>
      <w:r>
        <w:rPr>
          <w:rFonts w:hint="eastAsia" w:ascii="仿宋" w:hAnsi="仿宋" w:eastAsia="仿宋" w:cs="仿宋_GB2312"/>
          <w:color w:val="000000"/>
          <w:sz w:val="30"/>
          <w:szCs w:val="30"/>
        </w:rPr>
        <w:t>入伍前取得全日制普通高等教育专科及以上学历或入伍前为全日制普通高等教育在校生，退役后复学取得专科及以上学历证书，且为高唐县接收的退役大学生士兵，可以报考定向招聘岗位。</w:t>
      </w:r>
    </w:p>
    <w:p>
      <w:pPr>
        <w:snapToGrid w:val="0"/>
        <w:spacing w:line="520" w:lineRule="exact"/>
        <w:ind w:firstLine="600" w:firstLineChars="200"/>
        <w:rPr>
          <w:rFonts w:hint="eastAsia" w:ascii="仿宋" w:hAnsi="仿宋" w:eastAsia="仿宋" w:cs="仿宋_GB2312"/>
          <w:color w:val="000000"/>
          <w:sz w:val="30"/>
          <w:szCs w:val="30"/>
        </w:rPr>
      </w:pPr>
      <w:r>
        <w:rPr>
          <w:rFonts w:hint="eastAsia" w:ascii="仿宋" w:hAnsi="仿宋" w:eastAsia="仿宋" w:cs="仿宋_GB2312"/>
          <w:color w:val="000000"/>
          <w:sz w:val="30"/>
          <w:szCs w:val="30"/>
        </w:rPr>
        <w:t>已享受优惠政策被录用为公务员或招聘为事业单位工作人员的，不再享受该优惠政策。</w:t>
      </w:r>
    </w:p>
    <w:p>
      <w:pPr>
        <w:pStyle w:val="15"/>
        <w:spacing w:line="600" w:lineRule="exact"/>
        <w:ind w:firstLine="624"/>
        <w:rPr>
          <w:rFonts w:hint="eastAsia" w:ascii="楷体_GB2312" w:eastAsia="楷体_GB2312"/>
          <w:b/>
          <w:sz w:val="32"/>
          <w:lang w:val="en-US" w:eastAsia="zh-CN"/>
        </w:rPr>
      </w:pPr>
      <w:r>
        <w:rPr>
          <w:rFonts w:hint="eastAsia" w:ascii="楷体_GB2312" w:eastAsia="楷体_GB2312"/>
          <w:b/>
          <w:sz w:val="32"/>
          <w:lang w:val="en-US" w:eastAsia="zh-CN"/>
        </w:rPr>
        <w:t>10.取得面试人选资格的应聘人员进行现场资格审查时需提供哪些材料？</w:t>
      </w:r>
    </w:p>
    <w:p>
      <w:pPr>
        <w:pStyle w:val="23"/>
        <w:spacing w:line="520" w:lineRule="exact"/>
        <w:ind w:firstLine="624"/>
        <w:rPr>
          <w:rFonts w:hint="eastAsia" w:ascii="仿宋_GB2312" w:hAnsi="仿宋" w:eastAsia="仿宋_GB2312" w:cs="仿宋_GB2312"/>
          <w:color w:val="000000"/>
          <w:kern w:val="0"/>
          <w:sz w:val="32"/>
          <w:szCs w:val="32"/>
          <w:lang w:val="en-US" w:eastAsia="zh-CN" w:bidi="ar-SA"/>
        </w:rPr>
      </w:pPr>
      <w:r>
        <w:rPr>
          <w:rFonts w:hint="eastAsia" w:ascii="仿宋_GB2312" w:hAnsi="仿宋" w:eastAsia="仿宋_GB2312" w:cs="仿宋_GB2312"/>
          <w:color w:val="000000"/>
          <w:kern w:val="0"/>
          <w:sz w:val="32"/>
          <w:szCs w:val="32"/>
          <w:lang w:val="en-US" w:eastAsia="zh-CN" w:bidi="ar-SA"/>
        </w:rPr>
        <w:t>取得面试人选资格的应聘人员，需在规定的时间，按招聘岗位要求，向招聘单位提交相关材料（原件及复印件，复印件由审核单位留存）。相关材料主要有：</w:t>
      </w:r>
    </w:p>
    <w:p>
      <w:pPr>
        <w:pStyle w:val="23"/>
        <w:spacing w:line="520" w:lineRule="exact"/>
        <w:ind w:firstLine="624"/>
        <w:rPr>
          <w:rFonts w:hint="eastAsia" w:ascii="仿宋_GB2312" w:hAnsi="仿宋" w:eastAsia="仿宋_GB2312" w:cs="仿宋_GB2312"/>
          <w:color w:val="000000"/>
          <w:kern w:val="0"/>
          <w:sz w:val="32"/>
          <w:szCs w:val="32"/>
          <w:lang w:val="zh-CN" w:eastAsia="zh-CN" w:bidi="ar-SA"/>
        </w:rPr>
      </w:pPr>
      <w:r>
        <w:rPr>
          <w:rFonts w:hint="eastAsia" w:ascii="仿宋_GB2312" w:hAnsi="仿宋" w:eastAsia="仿宋_GB2312" w:cs="仿宋_GB2312"/>
          <w:color w:val="000000"/>
          <w:kern w:val="0"/>
          <w:sz w:val="32"/>
          <w:szCs w:val="32"/>
          <w:lang w:val="en-US" w:eastAsia="zh-CN" w:bidi="ar-SA"/>
        </w:rPr>
        <w:t>（1）</w:t>
      </w:r>
      <w:r>
        <w:rPr>
          <w:rFonts w:hint="eastAsia" w:ascii="仿宋_GB2312" w:hAnsi="仿宋" w:eastAsia="仿宋_GB2312" w:cs="仿宋_GB2312"/>
          <w:color w:val="000000"/>
          <w:kern w:val="0"/>
          <w:sz w:val="32"/>
          <w:szCs w:val="32"/>
          <w:lang w:val="zh-CN" w:eastAsia="zh-CN" w:bidi="ar-SA"/>
        </w:rPr>
        <w:t xml:space="preserve">《高唐县公开招聘教师报名登记表》； </w:t>
      </w:r>
    </w:p>
    <w:p>
      <w:pPr>
        <w:pStyle w:val="23"/>
        <w:spacing w:line="520" w:lineRule="exact"/>
        <w:ind w:firstLine="624"/>
        <w:rPr>
          <w:rFonts w:hint="eastAsia" w:ascii="仿宋_GB2312" w:hAnsi="仿宋" w:eastAsia="仿宋_GB2312" w:cs="仿宋_GB2312"/>
          <w:color w:val="000000"/>
          <w:kern w:val="0"/>
          <w:sz w:val="32"/>
          <w:szCs w:val="32"/>
          <w:lang w:val="zh-CN" w:eastAsia="zh-CN" w:bidi="ar-SA"/>
        </w:rPr>
      </w:pPr>
      <w:r>
        <w:rPr>
          <w:rFonts w:hint="eastAsia" w:ascii="仿宋_GB2312" w:hAnsi="仿宋" w:eastAsia="仿宋_GB2312" w:cs="仿宋_GB2312"/>
          <w:color w:val="000000"/>
          <w:kern w:val="0"/>
          <w:sz w:val="32"/>
          <w:szCs w:val="32"/>
          <w:lang w:val="en-US" w:eastAsia="zh-CN" w:bidi="ar-SA"/>
        </w:rPr>
        <w:t>（2）</w:t>
      </w:r>
      <w:r>
        <w:rPr>
          <w:rFonts w:hint="eastAsia" w:ascii="仿宋_GB2312" w:hAnsi="仿宋" w:eastAsia="仿宋_GB2312" w:cs="仿宋_GB2312"/>
          <w:color w:val="000000"/>
          <w:kern w:val="0"/>
          <w:sz w:val="32"/>
          <w:szCs w:val="32"/>
          <w:lang w:val="zh-CN" w:eastAsia="zh-CN" w:bidi="ar-SA"/>
        </w:rPr>
        <w:t xml:space="preserve">《应聘高唐县公开招聘教师诚信承诺书》； </w:t>
      </w:r>
    </w:p>
    <w:p>
      <w:pPr>
        <w:pStyle w:val="23"/>
        <w:spacing w:line="520" w:lineRule="exact"/>
        <w:ind w:firstLine="624"/>
        <w:rPr>
          <w:rFonts w:hint="eastAsia" w:ascii="仿宋_GB2312" w:hAnsi="仿宋" w:eastAsia="仿宋_GB2312" w:cs="仿宋_GB2312"/>
          <w:color w:val="000000"/>
          <w:kern w:val="0"/>
          <w:sz w:val="32"/>
          <w:szCs w:val="32"/>
          <w:lang w:val="zh-CN" w:eastAsia="zh-CN" w:bidi="ar-SA"/>
        </w:rPr>
      </w:pPr>
      <w:r>
        <w:rPr>
          <w:rFonts w:hint="eastAsia" w:ascii="仿宋_GB2312" w:hAnsi="仿宋" w:eastAsia="仿宋_GB2312" w:cs="仿宋_GB2312"/>
          <w:color w:val="000000"/>
          <w:kern w:val="0"/>
          <w:sz w:val="32"/>
          <w:szCs w:val="32"/>
          <w:lang w:val="zh-CN" w:eastAsia="zh-CN" w:bidi="ar-SA"/>
        </w:rPr>
        <w:t>（3）笔试准考证；</w:t>
      </w:r>
    </w:p>
    <w:p>
      <w:pPr>
        <w:pStyle w:val="23"/>
        <w:spacing w:line="520" w:lineRule="exact"/>
        <w:ind w:firstLine="624"/>
        <w:rPr>
          <w:rFonts w:hint="eastAsia" w:ascii="仿宋_GB2312" w:hAnsi="仿宋" w:eastAsia="仿宋_GB2312" w:cs="仿宋_GB2312"/>
          <w:color w:val="000000"/>
          <w:kern w:val="0"/>
          <w:sz w:val="32"/>
          <w:szCs w:val="32"/>
          <w:lang w:val="en-US" w:eastAsia="zh-CN" w:bidi="ar-SA"/>
        </w:rPr>
      </w:pPr>
      <w:r>
        <w:rPr>
          <w:rFonts w:hint="eastAsia" w:ascii="仿宋_GB2312" w:hAnsi="仿宋" w:eastAsia="仿宋_GB2312" w:cs="仿宋_GB2312"/>
          <w:color w:val="000000"/>
          <w:kern w:val="0"/>
          <w:sz w:val="32"/>
          <w:szCs w:val="32"/>
          <w:lang w:val="zh-CN" w:eastAsia="zh-CN" w:bidi="ar-SA"/>
        </w:rPr>
        <w:t>（4）</w:t>
      </w:r>
      <w:r>
        <w:rPr>
          <w:rFonts w:hint="eastAsia" w:ascii="仿宋_GB2312" w:hAnsi="仿宋" w:eastAsia="仿宋_GB2312" w:cs="仿宋_GB2312"/>
          <w:color w:val="000000"/>
          <w:kern w:val="0"/>
          <w:sz w:val="32"/>
          <w:szCs w:val="32"/>
          <w:lang w:val="en-US" w:eastAsia="zh-CN" w:bidi="ar-SA"/>
        </w:rPr>
        <w:t>国家</w:t>
      </w:r>
      <w:r>
        <w:rPr>
          <w:rFonts w:hint="eastAsia" w:ascii="仿宋_GB2312" w:hAnsi="仿宋" w:eastAsia="仿宋_GB2312" w:cs="仿宋_GB2312"/>
          <w:color w:val="000000"/>
          <w:kern w:val="0"/>
          <w:sz w:val="32"/>
          <w:szCs w:val="32"/>
          <w:lang w:val="zh-CN" w:eastAsia="zh-CN" w:bidi="ar-SA"/>
        </w:rPr>
        <w:t>承认的学历毕业证、学位证（有学位要求的提供）、报到证（普通高校毕业生提供）、身份证、</w:t>
      </w:r>
      <w:r>
        <w:rPr>
          <w:rFonts w:hint="eastAsia" w:ascii="仿宋_GB2312" w:hAnsi="仿宋" w:eastAsia="仿宋_GB2312" w:cs="仿宋_GB2312"/>
          <w:color w:val="000000"/>
          <w:kern w:val="0"/>
          <w:sz w:val="32"/>
          <w:szCs w:val="32"/>
          <w:lang w:val="en-US" w:eastAsia="zh-CN" w:bidi="ar-SA"/>
        </w:rPr>
        <w:t>户口簿、教育部学历证书电子注册备案表、学位查询结果（有学位要求的提供）；</w:t>
      </w:r>
    </w:p>
    <w:p>
      <w:pPr>
        <w:pStyle w:val="23"/>
        <w:spacing w:line="520" w:lineRule="exact"/>
        <w:ind w:firstLine="624"/>
        <w:rPr>
          <w:rFonts w:hint="eastAsia" w:ascii="仿宋_GB2312" w:hAnsi="仿宋" w:eastAsia="仿宋_GB2312" w:cs="仿宋_GB2312"/>
          <w:color w:val="000000"/>
          <w:kern w:val="0"/>
          <w:sz w:val="32"/>
          <w:szCs w:val="32"/>
          <w:lang w:val="en-US" w:eastAsia="zh-CN" w:bidi="ar-SA"/>
        </w:rPr>
      </w:pPr>
      <w:r>
        <w:rPr>
          <w:rFonts w:hint="eastAsia" w:ascii="仿宋_GB2312" w:hAnsi="仿宋" w:eastAsia="仿宋_GB2312" w:cs="仿宋_GB2312"/>
          <w:color w:val="000000"/>
          <w:kern w:val="0"/>
          <w:sz w:val="32"/>
          <w:szCs w:val="32"/>
          <w:lang w:val="en-US" w:eastAsia="zh-CN" w:bidi="ar-SA"/>
        </w:rPr>
        <w:t>报考具备教师资格证岗位的考生，还需提供教师资格证；符合“先上岗、再考证”政策，未取得教师资格证人员，需要签订《容缺报名个人承诺书》；</w:t>
      </w:r>
    </w:p>
    <w:p>
      <w:pPr>
        <w:pStyle w:val="23"/>
        <w:spacing w:line="520" w:lineRule="exact"/>
        <w:ind w:firstLine="624"/>
        <w:rPr>
          <w:rFonts w:hint="eastAsia" w:ascii="仿宋_GB2312" w:hAnsi="仿宋" w:eastAsia="仿宋_GB2312" w:cs="仿宋_GB2312"/>
          <w:color w:val="000000"/>
          <w:kern w:val="0"/>
          <w:sz w:val="32"/>
          <w:szCs w:val="32"/>
          <w:lang w:val="en-US" w:eastAsia="zh-CN" w:bidi="ar-SA"/>
        </w:rPr>
      </w:pPr>
      <w:r>
        <w:rPr>
          <w:rFonts w:hint="eastAsia" w:ascii="仿宋_GB2312" w:hAnsi="仿宋" w:eastAsia="仿宋_GB2312" w:cs="仿宋_GB2312"/>
          <w:color w:val="000000"/>
          <w:kern w:val="0"/>
          <w:sz w:val="32"/>
          <w:szCs w:val="32"/>
          <w:lang w:val="en-US" w:eastAsia="zh-CN" w:bidi="ar-SA"/>
        </w:rPr>
        <w:t>留学回国人员应聘的，还需提供国家教育部门的学历学位认证、我国驻外使领馆的有关证明材料，学历学位认证由教育部留学服务中心负责，报考人员可登陆教育部留学服务中心网站（http://www.cscse.edu.cn）查询认证的有关要求和程序；</w:t>
      </w:r>
    </w:p>
    <w:p>
      <w:pPr>
        <w:pStyle w:val="23"/>
        <w:spacing w:line="520" w:lineRule="exact"/>
        <w:ind w:firstLine="624"/>
        <w:rPr>
          <w:rFonts w:hint="eastAsia" w:ascii="仿宋_GB2312" w:hAnsi="仿宋" w:eastAsia="仿宋_GB2312" w:cs="仿宋_GB2312"/>
          <w:color w:val="000000"/>
          <w:kern w:val="0"/>
          <w:sz w:val="32"/>
          <w:szCs w:val="32"/>
          <w:lang w:val="en-US" w:eastAsia="zh-CN" w:bidi="ar-SA"/>
        </w:rPr>
      </w:pPr>
      <w:r>
        <w:rPr>
          <w:rFonts w:hint="eastAsia" w:ascii="仿宋_GB2312" w:hAnsi="仿宋" w:eastAsia="仿宋_GB2312" w:cs="仿宋_GB2312"/>
          <w:color w:val="000000"/>
          <w:kern w:val="0"/>
          <w:sz w:val="32"/>
          <w:szCs w:val="32"/>
          <w:lang w:val="en-US" w:eastAsia="zh-CN" w:bidi="ar-SA"/>
        </w:rPr>
        <w:t>（5）在职人员应聘的，还需提交有用人管理权限部门或单位出具的同意应聘介绍信或与签约单位解除聘用关系证明材料。（中小学教师报考须提交县级以上教育行政主管部门出具的同意应聘介绍信）</w:t>
      </w:r>
    </w:p>
    <w:p>
      <w:pPr>
        <w:pStyle w:val="23"/>
        <w:spacing w:line="520" w:lineRule="exact"/>
        <w:ind w:firstLine="624"/>
        <w:rPr>
          <w:rFonts w:hint="eastAsia" w:ascii="仿宋_GB2312" w:hAnsi="仿宋" w:eastAsia="仿宋_GB2312" w:cs="仿宋_GB2312"/>
          <w:color w:val="000000"/>
          <w:kern w:val="0"/>
          <w:sz w:val="32"/>
          <w:szCs w:val="32"/>
          <w:lang w:val="en-US" w:eastAsia="zh-CN" w:bidi="ar-SA"/>
        </w:rPr>
      </w:pPr>
      <w:r>
        <w:rPr>
          <w:rFonts w:hint="eastAsia" w:ascii="仿宋_GB2312" w:hAnsi="仿宋" w:eastAsia="仿宋_GB2312" w:cs="仿宋_GB2312"/>
          <w:color w:val="000000"/>
          <w:kern w:val="0"/>
          <w:sz w:val="32"/>
          <w:szCs w:val="32"/>
          <w:lang w:val="en-US" w:eastAsia="zh-CN" w:bidi="ar-SA"/>
        </w:rPr>
        <w:t xml:space="preserve">（6）已与用人单位签订就业协议的毕业生，应聘时应提供与签约单位解除就业协议或签约单位同意报考的书面证明； </w:t>
      </w:r>
    </w:p>
    <w:p>
      <w:pPr>
        <w:pStyle w:val="23"/>
        <w:spacing w:line="520" w:lineRule="exact"/>
        <w:ind w:firstLine="624"/>
        <w:rPr>
          <w:rFonts w:hint="eastAsia" w:ascii="仿宋_GB2312" w:hAnsi="仿宋" w:eastAsia="仿宋_GB2312" w:cs="仿宋_GB2312"/>
          <w:color w:val="000000"/>
          <w:kern w:val="0"/>
          <w:sz w:val="32"/>
          <w:szCs w:val="32"/>
          <w:lang w:val="en-US" w:eastAsia="zh-CN" w:bidi="ar-SA"/>
        </w:rPr>
      </w:pPr>
      <w:r>
        <w:rPr>
          <w:rFonts w:hint="eastAsia" w:ascii="仿宋_GB2312" w:hAnsi="仿宋" w:eastAsia="仿宋_GB2312" w:cs="仿宋_GB2312"/>
          <w:color w:val="000000"/>
          <w:kern w:val="0"/>
          <w:sz w:val="32"/>
          <w:szCs w:val="32"/>
          <w:lang w:val="en-US" w:eastAsia="zh-CN" w:bidi="ar-SA"/>
        </w:rPr>
        <w:t>（7）报考面向服务基层人员及退役大学生士兵定向招聘岗位的人员，除出具学历学位证书、身份证和毕业当年就业主管机构签发的报到证等相关证明材料外，参加“三支一扶”计划项目人员出具山东省“三支一扶”工作协调管理办公室签发的《招募通知书》和县以上人社部门出具的考核材料；参加“大学生志愿服务西部计划”项目人员出具共青团山东省委考核认定的证明材料、共青团中央统一制作的服务证和大学生志愿服务西部计划鉴定表；退役大学生士兵提交户口簿、退伍证。</w:t>
      </w:r>
    </w:p>
    <w:p>
      <w:pPr>
        <w:adjustRightInd w:val="0"/>
        <w:snapToGrid w:val="0"/>
        <w:spacing w:line="540" w:lineRule="exact"/>
        <w:ind w:firstLine="640" w:firstLineChars="200"/>
        <w:rPr>
          <w:rFonts w:ascii="仿宋_GB2312" w:eastAsia="仿宋_GB2312"/>
          <w:b/>
          <w:sz w:val="32"/>
          <w:szCs w:val="32"/>
        </w:rPr>
      </w:pPr>
      <w:r>
        <w:rPr>
          <w:rFonts w:hint="eastAsia" w:ascii="仿宋_GB2312" w:eastAsia="仿宋_GB2312"/>
          <w:sz w:val="32"/>
          <w:szCs w:val="32"/>
        </w:rPr>
        <w:t>（</w:t>
      </w:r>
      <w:r>
        <w:rPr>
          <w:rFonts w:hint="eastAsia" w:ascii="仿宋_GB2312" w:eastAsia="仿宋_GB2312"/>
          <w:sz w:val="32"/>
          <w:szCs w:val="32"/>
          <w:lang w:val="en-US" w:eastAsia="zh-CN"/>
        </w:rPr>
        <w:t>8</w:t>
      </w:r>
      <w:r>
        <w:rPr>
          <w:rFonts w:hint="eastAsia" w:ascii="仿宋_GB2312" w:eastAsia="仿宋_GB2312"/>
          <w:sz w:val="32"/>
          <w:szCs w:val="32"/>
        </w:rPr>
        <w:t>）</w:t>
      </w:r>
      <w:r>
        <w:rPr>
          <w:rFonts w:hint="eastAsia" w:ascii="仿宋_GB2312" w:hAnsi="仿宋_GB2312" w:eastAsia="仿宋_GB2312" w:cs="仿宋_GB2312"/>
          <w:sz w:val="32"/>
          <w:szCs w:val="32"/>
        </w:rPr>
        <w:t>香港和澳门居民中的中国公民应聘的，还需提供《港澳居民来往内地通行证》；</w:t>
      </w:r>
      <w:r>
        <w:rPr>
          <w:rFonts w:hint="eastAsia" w:ascii="仿宋_GB2312" w:eastAsia="仿宋_GB2312"/>
          <w:b/>
          <w:sz w:val="32"/>
          <w:szCs w:val="32"/>
        </w:rPr>
        <w:t xml:space="preserve"> </w:t>
      </w:r>
    </w:p>
    <w:p>
      <w:pPr>
        <w:adjustRightInd w:val="0"/>
        <w:snapToGrid w:val="0"/>
        <w:spacing w:line="54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w:t>
      </w:r>
      <w:r>
        <w:rPr>
          <w:rFonts w:hint="eastAsia" w:ascii="仿宋_GB2312" w:eastAsia="仿宋_GB2312"/>
          <w:sz w:val="32"/>
          <w:szCs w:val="32"/>
          <w:lang w:val="en-US" w:eastAsia="zh-CN"/>
        </w:rPr>
        <w:t>9</w:t>
      </w:r>
      <w:r>
        <w:rPr>
          <w:rFonts w:hint="eastAsia" w:ascii="仿宋_GB2312" w:eastAsia="仿宋_GB2312"/>
          <w:sz w:val="32"/>
          <w:szCs w:val="32"/>
        </w:rPr>
        <w:t>）</w:t>
      </w:r>
      <w:r>
        <w:rPr>
          <w:rFonts w:ascii="仿宋_GB2312" w:eastAsia="仿宋_GB2312"/>
          <w:sz w:val="32"/>
          <w:szCs w:val="32"/>
        </w:rPr>
        <w:t>1</w:t>
      </w:r>
      <w:r>
        <w:rPr>
          <w:rFonts w:hint="eastAsia" w:ascii="仿宋_GB2312" w:eastAsia="仿宋_GB2312"/>
          <w:sz w:val="32"/>
          <w:szCs w:val="32"/>
        </w:rPr>
        <w:t>寸近期同底版免冠证件照片</w:t>
      </w:r>
      <w:r>
        <w:rPr>
          <w:rFonts w:ascii="仿宋_GB2312" w:eastAsia="仿宋_GB2312"/>
          <w:sz w:val="32"/>
          <w:szCs w:val="32"/>
        </w:rPr>
        <w:t>3</w:t>
      </w:r>
      <w:r>
        <w:rPr>
          <w:rFonts w:hint="eastAsia" w:ascii="仿宋_GB2312" w:eastAsia="仿宋_GB2312"/>
          <w:sz w:val="32"/>
          <w:szCs w:val="32"/>
        </w:rPr>
        <w:t>张（须与网上报名的照片同一底版）</w:t>
      </w:r>
      <w:r>
        <w:rPr>
          <w:rFonts w:hint="eastAsia" w:ascii="仿宋_GB2312" w:eastAsia="仿宋_GB2312"/>
          <w:sz w:val="32"/>
          <w:szCs w:val="32"/>
          <w:lang w:eastAsia="zh-CN"/>
        </w:rPr>
        <w:t>；</w:t>
      </w:r>
    </w:p>
    <w:p>
      <w:pPr>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10</w:t>
      </w:r>
      <w:r>
        <w:rPr>
          <w:rFonts w:hint="eastAsia" w:ascii="仿宋_GB2312" w:eastAsia="仿宋_GB2312"/>
          <w:sz w:val="32"/>
          <w:szCs w:val="32"/>
          <w:lang w:eastAsia="zh-CN"/>
        </w:rPr>
        <w:t>）</w:t>
      </w:r>
      <w:r>
        <w:rPr>
          <w:rFonts w:hint="eastAsia" w:ascii="仿宋_GB2312" w:eastAsia="仿宋_GB2312"/>
          <w:sz w:val="32"/>
          <w:szCs w:val="32"/>
        </w:rPr>
        <w:t>招聘岗位资格条件要求的其他证明材料。</w:t>
      </w:r>
    </w:p>
    <w:p>
      <w:pPr>
        <w:snapToGrid w:val="0"/>
        <w:spacing w:line="600" w:lineRule="exact"/>
        <w:ind w:firstLine="630" w:firstLineChars="196"/>
        <w:rPr>
          <w:rFonts w:ascii="仿宋" w:hAnsi="仿宋" w:eastAsia="仿宋"/>
          <w:b/>
          <w:sz w:val="32"/>
          <w:szCs w:val="32"/>
        </w:rPr>
      </w:pPr>
      <w:r>
        <w:rPr>
          <w:rFonts w:hint="eastAsia" w:ascii="仿宋" w:hAnsi="仿宋" w:eastAsia="仿宋"/>
          <w:b/>
          <w:sz w:val="32"/>
          <w:szCs w:val="32"/>
          <w:lang w:val="en-US" w:eastAsia="zh-CN"/>
        </w:rPr>
        <w:t>11</w:t>
      </w:r>
      <w:r>
        <w:rPr>
          <w:rFonts w:hint="eastAsia" w:ascii="仿宋" w:hAnsi="仿宋" w:eastAsia="仿宋"/>
          <w:b/>
          <w:sz w:val="32"/>
          <w:szCs w:val="32"/>
        </w:rPr>
        <w:t>．现场资格审查时，未能在规定时间内提交齐全指定材料，可否延期补交有关材料？</w:t>
      </w:r>
    </w:p>
    <w:p>
      <w:pPr>
        <w:widowControl/>
        <w:spacing w:line="600" w:lineRule="exact"/>
        <w:ind w:firstLine="640" w:firstLineChars="200"/>
        <w:jc w:val="left"/>
        <w:rPr>
          <w:rFonts w:ascii="仿宋" w:hAnsi="仿宋" w:eastAsia="仿宋"/>
          <w:b/>
          <w:sz w:val="32"/>
          <w:szCs w:val="32"/>
        </w:rPr>
      </w:pPr>
      <w:r>
        <w:rPr>
          <w:rFonts w:hint="eastAsia" w:ascii="仿宋" w:hAnsi="仿宋" w:eastAsia="仿宋"/>
          <w:sz w:val="32"/>
          <w:szCs w:val="32"/>
        </w:rPr>
        <w:t>现场资格审查提交材料不全的，须在现场资格审查后</w:t>
      </w:r>
      <w:r>
        <w:rPr>
          <w:rFonts w:hint="eastAsia" w:ascii="仿宋" w:hAnsi="仿宋" w:eastAsia="仿宋"/>
          <w:sz w:val="32"/>
          <w:szCs w:val="32"/>
          <w:lang w:val="en-US" w:eastAsia="zh-CN"/>
        </w:rPr>
        <w:t>1</w:t>
      </w:r>
      <w:r>
        <w:rPr>
          <w:rFonts w:hint="eastAsia" w:ascii="仿宋" w:hAnsi="仿宋" w:eastAsia="仿宋"/>
          <w:sz w:val="32"/>
          <w:szCs w:val="32"/>
        </w:rPr>
        <w:t>个工作日内提交。未在规定时间内提交有关材料、证明的，视为自动放弃。经审查不具备报考条件的，取消其考试资格。</w:t>
      </w:r>
      <w:r>
        <w:rPr>
          <w:rFonts w:hint="eastAsia" w:ascii="仿宋" w:hAnsi="仿宋" w:eastAsia="仿宋"/>
          <w:b/>
          <w:sz w:val="32"/>
          <w:szCs w:val="32"/>
        </w:rPr>
        <w:t>单位同意</w:t>
      </w:r>
      <w:r>
        <w:rPr>
          <w:rFonts w:hint="eastAsia" w:ascii="仿宋" w:hAnsi="仿宋" w:eastAsia="仿宋"/>
          <w:b/>
          <w:sz w:val="32"/>
          <w:szCs w:val="32"/>
          <w:lang w:val="en-US" w:eastAsia="zh-CN"/>
        </w:rPr>
        <w:t>应聘介绍</w:t>
      </w:r>
      <w:r>
        <w:rPr>
          <w:rFonts w:hint="eastAsia" w:ascii="仿宋" w:hAnsi="仿宋" w:eastAsia="仿宋"/>
          <w:b/>
          <w:sz w:val="32"/>
          <w:szCs w:val="32"/>
        </w:rPr>
        <w:t>信必须在现场资格审查时提供。</w:t>
      </w:r>
    </w:p>
    <w:p>
      <w:pPr>
        <w:snapToGrid w:val="0"/>
        <w:spacing w:line="600" w:lineRule="exact"/>
        <w:ind w:firstLine="630" w:firstLineChars="196"/>
        <w:rPr>
          <w:rFonts w:ascii="楷体_GB2312" w:eastAsia="楷体_GB2312"/>
          <w:b/>
          <w:sz w:val="32"/>
          <w:szCs w:val="20"/>
        </w:rPr>
      </w:pPr>
      <w:r>
        <w:rPr>
          <w:rFonts w:ascii="楷体_GB2312" w:eastAsia="楷体_GB2312"/>
          <w:b/>
          <w:sz w:val="32"/>
          <w:szCs w:val="20"/>
        </w:rPr>
        <w:t>1</w:t>
      </w:r>
      <w:r>
        <w:rPr>
          <w:rFonts w:hint="eastAsia" w:ascii="楷体_GB2312" w:eastAsia="楷体_GB2312"/>
          <w:b/>
          <w:sz w:val="32"/>
          <w:szCs w:val="20"/>
          <w:lang w:val="en-US" w:eastAsia="zh-CN"/>
        </w:rPr>
        <w:t>2</w:t>
      </w:r>
      <w:r>
        <w:rPr>
          <w:rFonts w:ascii="楷体_GB2312" w:eastAsia="楷体_GB2312"/>
          <w:b/>
          <w:sz w:val="32"/>
          <w:szCs w:val="20"/>
        </w:rPr>
        <w:t>.</w:t>
      </w:r>
      <w:r>
        <w:rPr>
          <w:rFonts w:hint="eastAsia" w:ascii="楷体_GB2312" w:eastAsia="楷体_GB2312"/>
          <w:b/>
          <w:sz w:val="32"/>
          <w:szCs w:val="20"/>
        </w:rPr>
        <w:t>享受减免有关考务费用的农村特困大学生和城市低保人员需提供哪些证明材料？</w:t>
      </w:r>
    </w:p>
    <w:p>
      <w:pPr>
        <w:snapToGrid w:val="0"/>
        <w:spacing w:line="600" w:lineRule="exact"/>
        <w:ind w:firstLine="627" w:firstLineChars="196"/>
        <w:rPr>
          <w:rFonts w:hint="eastAsia" w:ascii="仿宋_GB2312" w:hAnsi="Courier New" w:eastAsia="仿宋_GB2312"/>
          <w:sz w:val="32"/>
          <w:szCs w:val="32"/>
          <w:lang w:eastAsia="zh-CN"/>
        </w:rPr>
      </w:pPr>
      <w:r>
        <w:rPr>
          <w:rFonts w:hint="eastAsia" w:ascii="仿宋_GB2312" w:hAnsi="Courier New" w:eastAsia="仿宋_GB2312"/>
          <w:sz w:val="32"/>
          <w:szCs w:val="32"/>
        </w:rPr>
        <w:t>拟享受减免考务费用的应聘人员，勿网上交费，在通过招聘单位资格初审后，</w:t>
      </w:r>
      <w:bookmarkStart w:id="0" w:name="_GoBack"/>
      <w:bookmarkEnd w:id="0"/>
      <w:r>
        <w:rPr>
          <w:rFonts w:hint="eastAsia" w:ascii="仿宋_GB2312" w:hAnsi="Courier New" w:eastAsia="仿宋_GB2312"/>
          <w:sz w:val="32"/>
          <w:szCs w:val="32"/>
        </w:rPr>
        <w:t>可由本人或委托他人，携带有关证明材料（原件及复印件，复印件由审核单位留存）到行政办公楼</w:t>
      </w:r>
      <w:r>
        <w:rPr>
          <w:rFonts w:ascii="仿宋_GB2312" w:hAnsi="Courier New" w:eastAsia="仿宋_GB2312"/>
          <w:sz w:val="32"/>
          <w:szCs w:val="32"/>
        </w:rPr>
        <w:t>337</w:t>
      </w:r>
      <w:r>
        <w:rPr>
          <w:rFonts w:hint="eastAsia" w:ascii="仿宋_GB2312" w:hAnsi="Courier New" w:eastAsia="仿宋_GB2312"/>
          <w:sz w:val="32"/>
          <w:szCs w:val="32"/>
        </w:rPr>
        <w:t>室（高唐县教育和体育局人事科）办理现场确认和减免费用手续。审查核准后，应聘人员本人要在网上确认。</w:t>
      </w:r>
      <w:r>
        <w:rPr>
          <w:rFonts w:hint="eastAsia" w:ascii="仿宋_GB2312" w:hAnsi="Courier New" w:eastAsia="仿宋_GB2312"/>
          <w:sz w:val="32"/>
          <w:szCs w:val="32"/>
          <w:lang w:eastAsia="zh-CN"/>
        </w:rPr>
        <w:t>（具体办理时间另行通知）</w:t>
      </w:r>
    </w:p>
    <w:p>
      <w:pPr>
        <w:spacing w:line="520" w:lineRule="exact"/>
        <w:ind w:firstLine="643" w:firstLineChars="200"/>
        <w:rPr>
          <w:rFonts w:ascii="仿宋_GB2312" w:hAnsi="Courier New" w:eastAsia="仿宋_GB2312"/>
          <w:sz w:val="32"/>
        </w:rPr>
      </w:pPr>
      <w:r>
        <w:rPr>
          <w:rFonts w:hint="eastAsia" w:ascii="仿宋_GB2312" w:hAnsi="Courier New" w:eastAsia="仿宋_GB2312"/>
          <w:b/>
          <w:sz w:val="32"/>
          <w:szCs w:val="32"/>
        </w:rPr>
        <w:t>所需提供的证明材料主要包括：</w:t>
      </w:r>
      <w:r>
        <w:rPr>
          <w:rFonts w:hint="eastAsia" w:ascii="仿宋_GB2312" w:hAnsi="Courier New" w:eastAsia="仿宋_GB2312"/>
          <w:sz w:val="32"/>
        </w:rPr>
        <w:t>享受国家最低生活保障金的城镇家庭的报考人员，应提交家庭所在地的县（市、区）民政部门出具的享受最低生活保障的证明和低保证（复印件）；农村绝对贫困家庭的报考人员，应提交家庭所在地的县（市、区）扶贫办（部门）出具的特困证明和特困家庭基本情况档案卡，或者出具由省人力资源社会保障厅、省教育厅核发的《山东省特困家庭毕业生就业服务卡》；残疾人应提交残疾人证。</w:t>
      </w:r>
    </w:p>
    <w:p>
      <w:pPr>
        <w:snapToGrid w:val="0"/>
        <w:spacing w:line="600" w:lineRule="exact"/>
        <w:ind w:firstLine="630" w:firstLineChars="196"/>
        <w:rPr>
          <w:rFonts w:ascii="楷体_GB2312" w:eastAsia="楷体_GB2312"/>
          <w:b/>
          <w:sz w:val="32"/>
          <w:szCs w:val="20"/>
        </w:rPr>
      </w:pPr>
      <w:r>
        <w:rPr>
          <w:rFonts w:ascii="楷体_GB2312" w:eastAsia="楷体_GB2312"/>
          <w:b/>
          <w:sz w:val="32"/>
          <w:szCs w:val="20"/>
        </w:rPr>
        <w:t>1</w:t>
      </w:r>
      <w:r>
        <w:rPr>
          <w:rFonts w:hint="eastAsia" w:ascii="楷体_GB2312" w:eastAsia="楷体_GB2312"/>
          <w:b/>
          <w:sz w:val="32"/>
          <w:szCs w:val="20"/>
          <w:lang w:val="en-US" w:eastAsia="zh-CN"/>
        </w:rPr>
        <w:t>3</w:t>
      </w:r>
      <w:r>
        <w:rPr>
          <w:rFonts w:ascii="楷体_GB2312" w:eastAsia="楷体_GB2312"/>
          <w:b/>
          <w:sz w:val="32"/>
          <w:szCs w:val="20"/>
        </w:rPr>
        <w:t>.</w:t>
      </w:r>
      <w:r>
        <w:rPr>
          <w:rFonts w:hint="eastAsia" w:ascii="楷体_GB2312" w:eastAsia="楷体_GB2312"/>
          <w:b/>
          <w:sz w:val="32"/>
          <w:szCs w:val="20"/>
        </w:rPr>
        <w:t>应聘人员是否可以改报其他岗位？</w:t>
      </w:r>
    </w:p>
    <w:p>
      <w:pPr>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应聘人员在待审核期内可以更改报考岗位。</w:t>
      </w:r>
    </w:p>
    <w:p>
      <w:pPr>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没有通过资格审查的应聘人员，在报名时间截止前可改报其他岗位，但系统自动禁止该应聘人员再次报考曾被拒绝的岗位。通过资格审查的应聘人员，系统自动禁止该应聘人员改报其他岗位。</w:t>
      </w:r>
    </w:p>
    <w:p>
      <w:pPr>
        <w:snapToGrid w:val="0"/>
        <w:spacing w:line="600" w:lineRule="exact"/>
        <w:ind w:firstLine="643" w:firstLineChars="200"/>
        <w:rPr>
          <w:rFonts w:ascii="楷体_GB2312" w:eastAsia="楷体_GB2312"/>
          <w:b/>
          <w:sz w:val="32"/>
          <w:szCs w:val="32"/>
        </w:rPr>
      </w:pPr>
      <w:r>
        <w:rPr>
          <w:rFonts w:hint="eastAsia" w:ascii="楷体_GB2312" w:eastAsia="楷体_GB2312"/>
          <w:b/>
          <w:sz w:val="32"/>
          <w:szCs w:val="20"/>
          <w:lang w:val="en-US" w:eastAsia="zh-CN"/>
        </w:rPr>
        <w:t>14</w:t>
      </w:r>
      <w:r>
        <w:rPr>
          <w:rFonts w:ascii="楷体_GB2312" w:eastAsia="楷体_GB2312"/>
          <w:b/>
          <w:sz w:val="32"/>
          <w:szCs w:val="20"/>
        </w:rPr>
        <w:t>.</w:t>
      </w:r>
      <w:r>
        <w:rPr>
          <w:rFonts w:hint="eastAsia" w:ascii="楷体_GB2312" w:eastAsia="楷体_GB2312"/>
          <w:b/>
          <w:sz w:val="32"/>
          <w:szCs w:val="32"/>
        </w:rPr>
        <w:t>面试采用什么方式？</w:t>
      </w:r>
    </w:p>
    <w:p>
      <w:pPr>
        <w:snapToGrid w:val="0"/>
        <w:spacing w:line="600" w:lineRule="exact"/>
        <w:ind w:firstLine="640" w:firstLineChars="200"/>
        <w:rPr>
          <w:rFonts w:ascii="仿宋_GB2312" w:hAnsi="宋体" w:eastAsia="仿宋_GB2312" w:cs="宋体"/>
          <w:color w:val="000000"/>
          <w:kern w:val="0"/>
          <w:sz w:val="32"/>
          <w:szCs w:val="32"/>
        </w:rPr>
      </w:pPr>
      <w:r>
        <w:rPr>
          <w:rFonts w:hint="eastAsia" w:ascii="仿宋_GB2312" w:eastAsia="仿宋_GB2312"/>
          <w:color w:val="000000"/>
          <w:sz w:val="32"/>
          <w:szCs w:val="32"/>
        </w:rPr>
        <w:t>面试重点测评应聘者的岗位适应能力，主要考察应聘者的专业知识和业务能力等。</w:t>
      </w:r>
      <w:r>
        <w:rPr>
          <w:rFonts w:hint="eastAsia" w:ascii="仿宋_GB2312" w:hAnsi="宋体" w:eastAsia="仿宋_GB2312" w:cs="宋体"/>
          <w:color w:val="000000"/>
          <w:kern w:val="0"/>
          <w:sz w:val="32"/>
          <w:szCs w:val="32"/>
        </w:rPr>
        <w:t>面试根据岗位特点和专业要求，一般采用试讲的方式，部分学科岗位（英语、音乐、体育、美术</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lang w:val="en-US" w:eastAsia="zh-CN"/>
        </w:rPr>
        <w:t>幼儿园</w:t>
      </w:r>
      <w:r>
        <w:rPr>
          <w:rFonts w:hint="eastAsia" w:ascii="仿宋_GB2312" w:hAnsi="宋体" w:eastAsia="仿宋_GB2312" w:cs="宋体"/>
          <w:color w:val="000000"/>
          <w:kern w:val="0"/>
          <w:sz w:val="32"/>
          <w:szCs w:val="32"/>
        </w:rPr>
        <w:t>教师岗位）采取试讲和</w:t>
      </w:r>
      <w:r>
        <w:rPr>
          <w:rFonts w:hint="eastAsia" w:ascii="仿宋_GB2312" w:hAnsi="宋体" w:eastAsia="仿宋_GB2312" w:cs="宋体"/>
          <w:color w:val="000000"/>
          <w:kern w:val="0"/>
          <w:sz w:val="32"/>
          <w:szCs w:val="32"/>
          <w:lang w:val="en-US" w:eastAsia="zh-CN"/>
        </w:rPr>
        <w:t>基本</w:t>
      </w:r>
      <w:r>
        <w:rPr>
          <w:rFonts w:hint="eastAsia" w:ascii="仿宋_GB2312" w:hAnsi="宋体" w:eastAsia="仿宋_GB2312" w:cs="宋体"/>
          <w:color w:val="000000"/>
          <w:kern w:val="0"/>
          <w:sz w:val="32"/>
          <w:szCs w:val="32"/>
        </w:rPr>
        <w:t>技能测试相结合的方式进行。</w:t>
      </w:r>
    </w:p>
    <w:p>
      <w:pPr>
        <w:snapToGrid w:val="0"/>
        <w:spacing w:line="600" w:lineRule="exact"/>
        <w:ind w:firstLine="643" w:firstLineChars="200"/>
        <w:rPr>
          <w:rFonts w:ascii="楷体_GB2312" w:eastAsia="楷体_GB2312"/>
          <w:b/>
          <w:sz w:val="32"/>
          <w:szCs w:val="20"/>
        </w:rPr>
      </w:pPr>
      <w:r>
        <w:rPr>
          <w:rFonts w:ascii="楷体_GB2312" w:eastAsia="楷体_GB2312"/>
          <w:b/>
          <w:sz w:val="32"/>
          <w:szCs w:val="20"/>
        </w:rPr>
        <w:t>1</w:t>
      </w:r>
      <w:r>
        <w:rPr>
          <w:rFonts w:hint="eastAsia" w:ascii="楷体_GB2312" w:eastAsia="楷体_GB2312"/>
          <w:b/>
          <w:sz w:val="32"/>
          <w:szCs w:val="20"/>
          <w:lang w:val="en-US" w:eastAsia="zh-CN"/>
        </w:rPr>
        <w:t>5</w:t>
      </w:r>
      <w:r>
        <w:rPr>
          <w:rFonts w:ascii="楷体_GB2312" w:eastAsia="楷体_GB2312"/>
          <w:b/>
          <w:sz w:val="32"/>
          <w:szCs w:val="20"/>
        </w:rPr>
        <w:t>.</w:t>
      </w:r>
      <w:r>
        <w:rPr>
          <w:rFonts w:hint="eastAsia" w:ascii="楷体_GB2312" w:eastAsia="楷体_GB2312"/>
          <w:b/>
          <w:sz w:val="32"/>
          <w:szCs w:val="20"/>
        </w:rPr>
        <w:t>填报</w:t>
      </w:r>
      <w:r>
        <w:rPr>
          <w:rFonts w:hint="eastAsia" w:ascii="楷体_GB2312" w:eastAsia="楷体_GB2312"/>
          <w:b/>
          <w:sz w:val="32"/>
          <w:szCs w:val="32"/>
        </w:rPr>
        <w:t>相关表格、信息时</w:t>
      </w:r>
      <w:r>
        <w:rPr>
          <w:rFonts w:hint="eastAsia" w:ascii="楷体_GB2312" w:eastAsia="楷体_GB2312"/>
          <w:b/>
          <w:sz w:val="32"/>
          <w:szCs w:val="20"/>
        </w:rPr>
        <w:t>需注意什么？</w:t>
      </w:r>
    </w:p>
    <w:p>
      <w:pPr>
        <w:snapToGrid w:val="0"/>
        <w:spacing w:line="520" w:lineRule="exact"/>
        <w:ind w:firstLine="640" w:firstLineChars="200"/>
        <w:rPr>
          <w:rFonts w:hint="eastAsia" w:ascii="仿宋_GB2312" w:eastAsia="仿宋_GB2312"/>
          <w:sz w:val="32"/>
          <w:szCs w:val="32"/>
        </w:rPr>
      </w:pPr>
      <w:r>
        <w:rPr>
          <w:rFonts w:hint="eastAsia" w:ascii="仿宋_GB2312" w:eastAsia="仿宋_GB2312"/>
          <w:sz w:val="32"/>
          <w:szCs w:val="32"/>
        </w:rPr>
        <w:t>应聘人员要仔细阅读《简章》、招聘岗位要求及本须知内容，填报的相关表格、信息等必须真实、全面、准确。主要信息填报不实的，按弄虚作假处理；因信息填报不全、错误等导致未通过招聘单位资格审查的，责任由应聘人员自负。</w:t>
      </w:r>
      <w:r>
        <w:rPr>
          <w:rFonts w:hint="eastAsia" w:ascii="仿宋" w:hAnsi="仿宋" w:eastAsia="仿宋" w:cs="仿宋_GB2312"/>
          <w:color w:val="000000"/>
          <w:sz w:val="30"/>
          <w:szCs w:val="30"/>
        </w:rPr>
        <w:t>考生身份填写在职的，必须填写具体单位。在职指的是已签订劳动合同、劳务派遣合同、单位人事代理合同，现未解除合同的人员。</w:t>
      </w:r>
      <w:r>
        <w:rPr>
          <w:rFonts w:hint="eastAsia" w:ascii="仿宋" w:hAnsi="仿宋" w:eastAsia="仿宋" w:cs="仿宋_GB2312"/>
          <w:bCs/>
          <w:color w:val="000000"/>
          <w:sz w:val="30"/>
          <w:szCs w:val="30"/>
        </w:rPr>
        <w:t>家庭成员及其主要社会关系栏填写称谓、姓名、工作单位及职务。</w:t>
      </w:r>
      <w:r>
        <w:rPr>
          <w:rFonts w:hint="eastAsia" w:ascii="仿宋" w:hAnsi="仿宋" w:eastAsia="仿宋" w:cs="仿宋_GB2312"/>
          <w:bCs/>
          <w:color w:val="000000"/>
          <w:sz w:val="30"/>
          <w:szCs w:val="30"/>
          <w:lang w:val="en-US" w:eastAsia="zh-CN"/>
        </w:rPr>
        <w:t>考生填写学习工作经历时，从初中上学开始填写。</w:t>
      </w:r>
    </w:p>
    <w:p>
      <w:pPr>
        <w:snapToGrid w:val="0"/>
        <w:spacing w:line="600" w:lineRule="exact"/>
        <w:ind w:firstLine="630" w:firstLineChars="196"/>
        <w:rPr>
          <w:rFonts w:hint="eastAsia" w:ascii="楷体_GB2312" w:eastAsia="楷体_GB2312"/>
          <w:b/>
          <w:sz w:val="32"/>
          <w:szCs w:val="20"/>
        </w:rPr>
      </w:pPr>
      <w:r>
        <w:rPr>
          <w:rFonts w:ascii="楷体_GB2312" w:eastAsia="楷体_GB2312"/>
          <w:b/>
          <w:sz w:val="32"/>
          <w:szCs w:val="20"/>
        </w:rPr>
        <w:t>1</w:t>
      </w:r>
      <w:r>
        <w:rPr>
          <w:rFonts w:hint="eastAsia" w:ascii="楷体_GB2312" w:eastAsia="楷体_GB2312"/>
          <w:b/>
          <w:sz w:val="32"/>
          <w:szCs w:val="20"/>
          <w:lang w:val="en-US" w:eastAsia="zh-CN"/>
        </w:rPr>
        <w:t>6</w:t>
      </w:r>
      <w:r>
        <w:rPr>
          <w:rFonts w:ascii="楷体_GB2312" w:eastAsia="楷体_GB2312"/>
          <w:b/>
          <w:sz w:val="32"/>
          <w:szCs w:val="20"/>
        </w:rPr>
        <w:t>.</w:t>
      </w:r>
      <w:r>
        <w:rPr>
          <w:rFonts w:hint="eastAsia" w:ascii="楷体_GB2312" w:eastAsia="楷体_GB2312"/>
          <w:b/>
          <w:sz w:val="32"/>
          <w:szCs w:val="20"/>
        </w:rPr>
        <w:t>违纪违规及存在不诚信情形的应聘人员和拟聘用人员名单公示后提出放弃的如何处理？</w:t>
      </w:r>
    </w:p>
    <w:p>
      <w:pPr>
        <w:autoSpaceDE w:val="0"/>
        <w:autoSpaceDN w:val="0"/>
        <w:adjustRightInd w:val="0"/>
        <w:snapToGrid w:val="0"/>
        <w:spacing w:line="520" w:lineRule="exact"/>
        <w:ind w:firstLine="624"/>
        <w:rPr>
          <w:rFonts w:hint="eastAsia" w:ascii="仿宋" w:hAnsi="仿宋" w:eastAsia="仿宋" w:cs="仿宋_GB2312"/>
          <w:color w:val="000000"/>
          <w:kern w:val="0"/>
          <w:sz w:val="30"/>
          <w:szCs w:val="30"/>
        </w:rPr>
      </w:pPr>
      <w:r>
        <w:rPr>
          <w:rFonts w:hint="eastAsia" w:ascii="仿宋" w:hAnsi="仿宋" w:eastAsia="仿宋" w:cs="仿宋_GB2312"/>
          <w:color w:val="000000"/>
          <w:kern w:val="0"/>
          <w:sz w:val="30"/>
          <w:szCs w:val="30"/>
        </w:rPr>
        <w:t>应聘人员要严格遵守公开招聘的相关政策规定，遵从事业单位公开招聘主管机关、人事考试机构和招聘单位的统一安排，其在应聘期间的表现将作为公开招聘考察的重要内容之一。对违纪违规的应聘人员，严格按</w:t>
      </w:r>
      <w:r>
        <w:rPr>
          <w:rFonts w:hint="eastAsia" w:ascii="仿宋" w:hAnsi="仿宋" w:eastAsia="仿宋" w:cs="仿宋_GB2312"/>
          <w:color w:val="000000"/>
          <w:sz w:val="30"/>
          <w:szCs w:val="30"/>
        </w:rPr>
        <w:t>照《事业单位公开招聘违纪违规行为处理规定》（人力资源和社会保障部令第35号）的有关规定进行处理。</w:t>
      </w:r>
      <w:r>
        <w:rPr>
          <w:rFonts w:hint="eastAsia" w:ascii="仿宋" w:hAnsi="仿宋" w:eastAsia="仿宋" w:cs="仿宋_GB2312"/>
          <w:color w:val="000000"/>
          <w:kern w:val="0"/>
          <w:sz w:val="30"/>
          <w:szCs w:val="30"/>
        </w:rPr>
        <w:t>对招聘工作中违纪违规及存在不诚信情形的应聘人员，将纳入事业单位公开招聘违纪违规与诚信档案库。</w:t>
      </w:r>
    </w:p>
    <w:p>
      <w:pPr>
        <w:snapToGrid w:val="0"/>
        <w:spacing w:line="600" w:lineRule="exact"/>
        <w:ind w:firstLine="627" w:firstLineChars="196"/>
        <w:rPr>
          <w:rFonts w:ascii="仿宋_GB2312" w:eastAsia="仿宋_GB2312"/>
          <w:sz w:val="32"/>
          <w:szCs w:val="20"/>
        </w:rPr>
      </w:pPr>
      <w:r>
        <w:rPr>
          <w:rFonts w:hint="eastAsia" w:ascii="仿宋_GB2312" w:eastAsia="仿宋_GB2312"/>
          <w:sz w:val="32"/>
          <w:szCs w:val="20"/>
        </w:rPr>
        <w:t>对公示后无故放弃聘用资格的应聘人员，由县教育和体育局报县人力资源和社会保障局记入事业单位公开招聘违纪违规与诚信档案库，并将处理决定放入个人档案。</w:t>
      </w:r>
    </w:p>
    <w:p>
      <w:pPr>
        <w:snapToGrid w:val="0"/>
        <w:spacing w:line="600" w:lineRule="exact"/>
        <w:ind w:firstLine="630" w:firstLineChars="196"/>
        <w:rPr>
          <w:rFonts w:hint="eastAsia" w:ascii="KaiTi_GB2312" w:eastAsia="KaiTi_GB2312"/>
          <w:b/>
          <w:sz w:val="32"/>
          <w:szCs w:val="20"/>
        </w:rPr>
      </w:pPr>
      <w:r>
        <w:rPr>
          <w:rFonts w:ascii="楷体_GB2312" w:eastAsia="楷体_GB2312"/>
          <w:b/>
          <w:sz w:val="32"/>
          <w:szCs w:val="20"/>
        </w:rPr>
        <w:t>1</w:t>
      </w:r>
      <w:r>
        <w:rPr>
          <w:rFonts w:hint="eastAsia" w:ascii="楷体_GB2312" w:eastAsia="楷体_GB2312"/>
          <w:b/>
          <w:sz w:val="32"/>
          <w:szCs w:val="20"/>
          <w:lang w:val="en-US" w:eastAsia="zh-CN"/>
        </w:rPr>
        <w:t>7</w:t>
      </w:r>
      <w:r>
        <w:rPr>
          <w:rFonts w:ascii="楷体_GB2312" w:eastAsia="楷体_GB2312"/>
          <w:b/>
          <w:sz w:val="32"/>
          <w:szCs w:val="20"/>
        </w:rPr>
        <w:t>.</w:t>
      </w:r>
      <w:r>
        <w:rPr>
          <w:rFonts w:hint="eastAsia" w:ascii="KaiTi_GB2312" w:eastAsia="KaiTi_GB2312"/>
          <w:b/>
          <w:sz w:val="32"/>
          <w:szCs w:val="20"/>
        </w:rPr>
        <w:t>本次招聘中“双一流”高校毕业生如何界定？</w:t>
      </w:r>
    </w:p>
    <w:p>
      <w:pPr>
        <w:autoSpaceDE w:val="0"/>
        <w:spacing w:line="520" w:lineRule="exact"/>
        <w:ind w:firstLine="600" w:firstLineChars="200"/>
        <w:jc w:val="left"/>
        <w:rPr>
          <w:rFonts w:hint="eastAsia" w:ascii="仿宋" w:hAnsi="仿宋" w:eastAsia="仿宋" w:cs="仿宋_GB2312"/>
          <w:color w:val="000000"/>
          <w:sz w:val="30"/>
          <w:szCs w:val="30"/>
          <w:lang w:bidi="ar"/>
        </w:rPr>
      </w:pPr>
      <w:r>
        <w:rPr>
          <w:rFonts w:hint="eastAsia" w:ascii="仿宋" w:hAnsi="仿宋" w:eastAsia="仿宋" w:cs="仿宋_GB2312"/>
          <w:color w:val="000000"/>
          <w:sz w:val="30"/>
          <w:szCs w:val="30"/>
          <w:lang w:bidi="ar"/>
        </w:rPr>
        <w:t>本此招聘中的“双一流”高校毕业生，是指国家公布的42所一流大学建设高校及98所一流学科建设高校学科，由国家统一招生入学并取得相应学历学位的高校毕业生。“双一流”建设高校名单见《简章》附件，</w:t>
      </w:r>
      <w:r>
        <w:rPr>
          <w:rFonts w:ascii="仿宋" w:hAnsi="仿宋" w:eastAsia="仿宋" w:cs="仿宋_GB2312"/>
          <w:color w:val="000000"/>
          <w:sz w:val="30"/>
          <w:szCs w:val="30"/>
          <w:lang w:bidi="ar"/>
        </w:rPr>
        <w:t>“双一流”高校及学科名单如有变化以官方网站最新公布为准。</w:t>
      </w:r>
      <w:r>
        <w:rPr>
          <w:rFonts w:hint="eastAsia" w:ascii="仿宋" w:hAnsi="仿宋" w:eastAsia="仿宋" w:cs="仿宋_GB2312"/>
          <w:color w:val="000000"/>
          <w:sz w:val="30"/>
          <w:szCs w:val="30"/>
          <w:lang w:bidi="ar"/>
        </w:rPr>
        <w:t>“双一流”高校的定向培养生、委托培养生、函授生以及独立学院毕业生不得应聘“双一流”高校毕业生专项招聘岗位。</w:t>
      </w:r>
    </w:p>
    <w:p>
      <w:pPr>
        <w:snapToGrid w:val="0"/>
        <w:spacing w:line="600" w:lineRule="exact"/>
        <w:ind w:firstLine="630" w:firstLineChars="196"/>
        <w:rPr>
          <w:rFonts w:ascii="楷体_GB2312" w:eastAsia="楷体_GB2312"/>
          <w:b/>
          <w:sz w:val="32"/>
          <w:szCs w:val="20"/>
        </w:rPr>
      </w:pPr>
      <w:r>
        <w:rPr>
          <w:rFonts w:hint="eastAsia" w:ascii="KaiTi_GB2312" w:eastAsia="KaiTi_GB2312"/>
          <w:b/>
          <w:sz w:val="32"/>
          <w:szCs w:val="20"/>
          <w:lang w:val="en-US" w:eastAsia="zh-CN"/>
        </w:rPr>
        <w:t>18.</w:t>
      </w:r>
      <w:r>
        <w:rPr>
          <w:rFonts w:hint="eastAsia" w:ascii="楷体_GB2312" w:eastAsia="楷体_GB2312"/>
          <w:b/>
          <w:sz w:val="32"/>
          <w:szCs w:val="20"/>
        </w:rPr>
        <w:t>对招聘岗位资格条件有疑问的如何咨询？</w:t>
      </w:r>
    </w:p>
    <w:p>
      <w:pPr>
        <w:snapToGrid w:val="0"/>
        <w:spacing w:line="600" w:lineRule="exact"/>
        <w:ind w:firstLine="627" w:firstLineChars="196"/>
        <w:rPr>
          <w:rFonts w:ascii="楷体_GB2312" w:eastAsia="楷体_GB2312"/>
          <w:b/>
          <w:sz w:val="32"/>
          <w:szCs w:val="20"/>
        </w:rPr>
      </w:pPr>
      <w:r>
        <w:rPr>
          <w:rFonts w:hint="eastAsia" w:ascii="仿宋_GB2312" w:eastAsia="仿宋_GB2312"/>
          <w:sz w:val="32"/>
          <w:szCs w:val="32"/>
        </w:rPr>
        <w:t>对招聘岗位资格条件和其他内容有疑问的，请与</w:t>
      </w:r>
      <w:r>
        <w:rPr>
          <w:rFonts w:hint="eastAsia" w:ascii="仿宋_GB2312" w:eastAsia="仿宋_GB2312"/>
          <w:sz w:val="32"/>
          <w:szCs w:val="32"/>
          <w:lang w:eastAsia="zh-CN"/>
        </w:rPr>
        <w:t>县教育和体育局</w:t>
      </w:r>
      <w:r>
        <w:rPr>
          <w:rFonts w:hint="eastAsia" w:ascii="仿宋_GB2312" w:eastAsia="仿宋_GB2312"/>
          <w:sz w:val="32"/>
          <w:szCs w:val="32"/>
        </w:rPr>
        <w:t>直接联系</w:t>
      </w:r>
      <w:r>
        <w:rPr>
          <w:rFonts w:hint="eastAsia" w:ascii="仿宋_GB2312" w:eastAsia="仿宋_GB2312"/>
          <w:sz w:val="32"/>
          <w:szCs w:val="32"/>
          <w:lang w:eastAsia="zh-CN"/>
        </w:rPr>
        <w:t>，</w:t>
      </w:r>
      <w:r>
        <w:rPr>
          <w:rFonts w:hint="eastAsia" w:ascii="仿宋_GB2312" w:eastAsia="仿宋_GB2312"/>
          <w:sz w:val="32"/>
          <w:szCs w:val="32"/>
        </w:rPr>
        <w:t>咨询电话详见《岗位汇总表》。</w:t>
      </w:r>
    </w:p>
    <w:p>
      <w:pPr>
        <w:snapToGrid w:val="0"/>
        <w:spacing w:line="600" w:lineRule="exact"/>
        <w:ind w:firstLine="630" w:firstLineChars="196"/>
        <w:rPr>
          <w:rFonts w:hint="eastAsia" w:ascii="楷体_GB2312" w:eastAsia="楷体_GB2312"/>
          <w:b/>
          <w:sz w:val="32"/>
          <w:szCs w:val="32"/>
        </w:rPr>
      </w:pPr>
      <w:r>
        <w:rPr>
          <w:rFonts w:hint="eastAsia" w:ascii="楷体_GB2312" w:eastAsia="楷体_GB2312"/>
          <w:b/>
          <w:sz w:val="32"/>
          <w:szCs w:val="32"/>
        </w:rPr>
        <w:t>1</w:t>
      </w:r>
      <w:r>
        <w:rPr>
          <w:rFonts w:hint="eastAsia" w:ascii="楷体_GB2312" w:eastAsia="楷体_GB2312"/>
          <w:b/>
          <w:sz w:val="32"/>
          <w:szCs w:val="32"/>
          <w:lang w:val="en-US" w:eastAsia="zh-CN"/>
        </w:rPr>
        <w:t>9</w:t>
      </w:r>
      <w:r>
        <w:rPr>
          <w:rFonts w:hint="eastAsia" w:ascii="楷体_GB2312" w:eastAsia="楷体_GB2312"/>
          <w:b/>
          <w:sz w:val="32"/>
          <w:szCs w:val="32"/>
        </w:rPr>
        <w:t>.《刑法》对于考试作弊有哪些新规定？</w:t>
      </w:r>
    </w:p>
    <w:p>
      <w:pPr>
        <w:autoSpaceDE w:val="0"/>
        <w:autoSpaceDN w:val="0"/>
        <w:adjustRightInd w:val="0"/>
        <w:snapToGrid w:val="0"/>
        <w:spacing w:line="520" w:lineRule="exact"/>
        <w:ind w:firstLine="624"/>
        <w:rPr>
          <w:rFonts w:hint="eastAsia" w:ascii="仿宋" w:hAnsi="仿宋" w:eastAsia="仿宋" w:cs="仿宋_GB2312"/>
          <w:color w:val="000000"/>
          <w:kern w:val="0"/>
          <w:sz w:val="30"/>
          <w:szCs w:val="30"/>
        </w:rPr>
      </w:pPr>
      <w:r>
        <w:rPr>
          <w:rFonts w:hint="eastAsia" w:ascii="仿宋" w:hAnsi="仿宋" w:eastAsia="仿宋" w:cs="仿宋_GB2312"/>
          <w:color w:val="000000"/>
          <w:kern w:val="0"/>
          <w:sz w:val="30"/>
          <w:szCs w:val="30"/>
        </w:rPr>
        <w:t>修改后的《刑法》在第二百八十四条规定：“在法律规定的国家考试中，组织作弊的，处三年以下有期徒刑或者拘役，并处或者单处罚金；情节严重的，处三年以上七年以下有期徒刑，并处罚金”；“为他人实施前款犯罪提供作弊器材或者其他帮助的，依照前款的规定处罚”；“为实施考试作弊行为，向他人非法出售或者提供第一款规定的考试的试题、答案的，依照第一款的规定处罚”；“代替他人或者让他人代替自己参加第一款规定的考试的，处拘役或者管制，并处或者单处罚金”。</w:t>
      </w:r>
    </w:p>
    <w:p>
      <w:pPr>
        <w:autoSpaceDE w:val="0"/>
        <w:autoSpaceDN w:val="0"/>
        <w:adjustRightInd w:val="0"/>
        <w:snapToGrid w:val="0"/>
        <w:spacing w:line="520" w:lineRule="exact"/>
        <w:ind w:firstLine="624"/>
        <w:rPr>
          <w:rFonts w:hint="eastAsia" w:ascii="仿宋" w:hAnsi="仿宋" w:eastAsia="仿宋" w:cs="仿宋_GB2312"/>
          <w:color w:val="000000"/>
          <w:kern w:val="0"/>
          <w:sz w:val="30"/>
          <w:szCs w:val="30"/>
        </w:rPr>
      </w:pPr>
      <w:r>
        <w:rPr>
          <w:rFonts w:hint="eastAsia" w:ascii="仿宋" w:hAnsi="仿宋" w:eastAsia="仿宋" w:cs="仿宋_GB2312"/>
          <w:color w:val="000000"/>
          <w:kern w:val="0"/>
          <w:sz w:val="30"/>
          <w:szCs w:val="30"/>
        </w:rPr>
        <w:t>此规定已于2015年11月1日起正式实施。考生和其他人员违反《刑法》构成犯罪的，将依法追究刑事责任。</w:t>
      </w:r>
    </w:p>
    <w:p>
      <w:pPr>
        <w:snapToGrid w:val="0"/>
        <w:spacing w:line="600" w:lineRule="exact"/>
        <w:ind w:firstLine="630" w:firstLineChars="196"/>
        <w:rPr>
          <w:rFonts w:ascii="楷体_GB2312" w:eastAsia="楷体_GB2312"/>
          <w:b/>
          <w:sz w:val="32"/>
          <w:szCs w:val="20"/>
        </w:rPr>
      </w:pPr>
      <w:r>
        <w:rPr>
          <w:rFonts w:hint="eastAsia" w:ascii="楷体_GB2312" w:eastAsia="楷体_GB2312"/>
          <w:b/>
          <w:sz w:val="32"/>
          <w:szCs w:val="32"/>
          <w:lang w:val="en-US" w:eastAsia="zh-CN"/>
        </w:rPr>
        <w:t>20</w:t>
      </w:r>
      <w:r>
        <w:rPr>
          <w:rFonts w:ascii="楷体_GB2312" w:eastAsia="楷体_GB2312"/>
          <w:b/>
          <w:sz w:val="32"/>
          <w:szCs w:val="20"/>
        </w:rPr>
        <w:t>.</w:t>
      </w:r>
      <w:r>
        <w:rPr>
          <w:rFonts w:hint="eastAsia" w:ascii="楷体_GB2312" w:eastAsia="楷体_GB2312"/>
          <w:b/>
          <w:sz w:val="32"/>
          <w:szCs w:val="20"/>
        </w:rPr>
        <w:t>是否有指定的考试辅导书和培训班？</w:t>
      </w:r>
    </w:p>
    <w:p>
      <w:pPr>
        <w:snapToGrid w:val="0"/>
        <w:spacing w:line="600" w:lineRule="exact"/>
        <w:ind w:firstLine="640" w:firstLineChars="200"/>
        <w:rPr>
          <w:rFonts w:hint="eastAsia" w:ascii="仿宋_GB2312" w:hAnsi="宋体" w:eastAsia="仿宋_GB2312" w:cs="宋体"/>
          <w:kern w:val="0"/>
          <w:sz w:val="32"/>
          <w:szCs w:val="32"/>
        </w:rPr>
      </w:pPr>
      <w:r>
        <w:rPr>
          <w:rFonts w:hint="eastAsia" w:ascii="仿宋_GB2312" w:eastAsia="仿宋_GB2312"/>
          <w:sz w:val="32"/>
          <w:szCs w:val="32"/>
        </w:rPr>
        <w:t>本次公开招聘统一考试</w:t>
      </w:r>
      <w:r>
        <w:rPr>
          <w:rFonts w:hint="eastAsia" w:ascii="仿宋_GB2312" w:hAnsi="宋体" w:eastAsia="仿宋_GB2312" w:cs="宋体"/>
          <w:kern w:val="0"/>
          <w:sz w:val="32"/>
          <w:szCs w:val="32"/>
        </w:rPr>
        <w:t>不指定考试教材和辅导用书，不举办也不授权或委托任何机构举办考试辅导培训班。</w:t>
      </w:r>
    </w:p>
    <w:p>
      <w:pPr>
        <w:snapToGrid w:val="0"/>
        <w:spacing w:line="600" w:lineRule="exact"/>
        <w:ind w:firstLine="630" w:firstLineChars="196"/>
        <w:rPr>
          <w:rFonts w:hint="eastAsia" w:ascii="楷体_GB2312" w:eastAsia="楷体_GB2312"/>
          <w:b/>
          <w:sz w:val="32"/>
          <w:szCs w:val="32"/>
        </w:rPr>
      </w:pPr>
      <w:r>
        <w:rPr>
          <w:rFonts w:hint="eastAsia" w:ascii="楷体_GB2312" w:eastAsia="楷体_GB2312"/>
          <w:b/>
          <w:sz w:val="32"/>
          <w:szCs w:val="32"/>
          <w:lang w:val="en-US" w:eastAsia="zh-CN"/>
        </w:rPr>
        <w:t>21</w:t>
      </w:r>
      <w:r>
        <w:rPr>
          <w:rFonts w:hint="eastAsia" w:ascii="楷体_GB2312" w:eastAsia="楷体_GB2312"/>
          <w:b/>
          <w:sz w:val="32"/>
          <w:szCs w:val="32"/>
        </w:rPr>
        <w:t>.考生还需注意哪些问题？</w:t>
      </w:r>
    </w:p>
    <w:p>
      <w:pPr>
        <w:spacing w:line="520" w:lineRule="exact"/>
        <w:ind w:firstLine="600" w:firstLineChars="200"/>
        <w:rPr>
          <w:rFonts w:hint="eastAsia" w:ascii="仿宋" w:hAnsi="仿宋" w:eastAsia="仿宋" w:cs="Arial"/>
          <w:color w:val="000000"/>
          <w:kern w:val="0"/>
          <w:sz w:val="30"/>
          <w:szCs w:val="30"/>
        </w:rPr>
      </w:pPr>
      <w:r>
        <w:rPr>
          <w:rFonts w:hint="eastAsia" w:ascii="仿宋" w:hAnsi="仿宋" w:eastAsia="仿宋" w:cs="Arial"/>
          <w:color w:val="000000"/>
          <w:kern w:val="0"/>
          <w:sz w:val="30"/>
          <w:szCs w:val="30"/>
        </w:rPr>
        <w:t>由于报名截止后，考生无法修改报名信息，符合条件的报考人员应在规定时间内尽早报名，及时查询初审结果，初审通过及时缴费，避免出现因本人未及时报名、未及时补充信息、未及时缴费等问题耽误报考。</w:t>
      </w:r>
    </w:p>
    <w:p>
      <w:pPr>
        <w:spacing w:line="520" w:lineRule="exact"/>
        <w:ind w:firstLine="600" w:firstLineChars="200"/>
        <w:rPr>
          <w:rFonts w:hint="eastAsia" w:ascii="仿宋_GB2312" w:hAnsi="宋体" w:eastAsia="仿宋_GB2312" w:cs="宋体"/>
          <w:kern w:val="0"/>
          <w:sz w:val="32"/>
          <w:szCs w:val="32"/>
        </w:rPr>
      </w:pPr>
      <w:r>
        <w:rPr>
          <w:rFonts w:hint="eastAsia" w:ascii="仿宋" w:hAnsi="仿宋" w:eastAsia="仿宋" w:cs="Arial"/>
          <w:color w:val="000000"/>
          <w:kern w:val="0"/>
          <w:sz w:val="30"/>
          <w:szCs w:val="30"/>
        </w:rPr>
        <w:t>应聘人员填写联系电话要正确，并确保公开招聘工作期间通讯畅通。同时，</w:t>
      </w:r>
      <w:r>
        <w:rPr>
          <w:rFonts w:hint="eastAsia" w:ascii="仿宋" w:hAnsi="仿宋" w:eastAsia="仿宋"/>
          <w:color w:val="000000"/>
          <w:sz w:val="30"/>
          <w:szCs w:val="30"/>
        </w:rPr>
        <w:t>应聘人员在报考期间应及时了解招聘网站发布的最新信息，并保持所留联系电话24小时通讯畅通，因本人原因错过重要信息而影响考试、聘用的，责任自负</w:t>
      </w:r>
      <w:r>
        <w:rPr>
          <w:rFonts w:hint="eastAsia" w:ascii="仿宋" w:hAnsi="仿宋" w:eastAsia="仿宋"/>
          <w:b/>
          <w:color w:val="000000"/>
          <w:sz w:val="30"/>
          <w:szCs w:val="30"/>
        </w:rPr>
        <w:t>。</w:t>
      </w:r>
    </w:p>
    <w:p>
      <w:pPr>
        <w:snapToGrid w:val="0"/>
        <w:spacing w:line="600" w:lineRule="exact"/>
        <w:ind w:firstLine="640" w:firstLineChars="200"/>
        <w:rPr>
          <w:rFonts w:ascii="仿宋_GB2312" w:hAnsi="宋体" w:eastAsia="仿宋_GB2312" w:cs="宋体"/>
          <w:kern w:val="0"/>
          <w:sz w:val="32"/>
          <w:szCs w:val="32"/>
        </w:rPr>
      </w:pPr>
    </w:p>
    <w:sectPr>
      <w:footerReference r:id="rId3" w:type="default"/>
      <w:footerReference r:id="rId4" w:type="even"/>
      <w:pgSz w:w="11906" w:h="16838"/>
      <w:pgMar w:top="1588" w:right="1701" w:bottom="1418"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简体">
    <w:panose1 w:val="02010601030101010101"/>
    <w:charset w:val="86"/>
    <w:family w:val="auto"/>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KaiTi_GB2312">
    <w:altName w:val="楷体"/>
    <w:panose1 w:val="02010609060101010101"/>
    <w:charset w:val="86"/>
    <w:family w:val="modern"/>
    <w:pitch w:val="default"/>
    <w:sig w:usb0="00000000" w:usb1="00000000"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PAGE   \* MERGEFORMAT</w:instrText>
    </w:r>
    <w:r>
      <w:fldChar w:fldCharType="separate"/>
    </w:r>
    <w:r>
      <w:rPr>
        <w:lang w:val="zh-CN"/>
      </w:rPr>
      <w:t>1</w:t>
    </w:r>
    <w:r>
      <w:rPr>
        <w:lang w:val="zh-CN"/>
      </w:rPr>
      <w:fldChar w:fldCharType="end"/>
    </w:r>
  </w:p>
  <w:p>
    <w:pPr>
      <w:pStyle w:val="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11"/>
      </w:rPr>
    </w:pPr>
    <w:r>
      <w:rPr>
        <w:rStyle w:val="11"/>
      </w:rPr>
      <w:fldChar w:fldCharType="begin"/>
    </w:r>
    <w:r>
      <w:rPr>
        <w:rStyle w:val="11"/>
      </w:rPr>
      <w:instrText xml:space="preserve">PAGE  </w:instrText>
    </w:r>
    <w:r>
      <w:rPr>
        <w:rStyle w:val="11"/>
      </w:rPr>
      <w:fldChar w:fldCharType="end"/>
    </w:r>
  </w:p>
  <w:p>
    <w:pPr>
      <w:pStyle w:val="5"/>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5421"/>
    <w:rsid w:val="000029C8"/>
    <w:rsid w:val="00013AF3"/>
    <w:rsid w:val="00015697"/>
    <w:rsid w:val="00021146"/>
    <w:rsid w:val="00023900"/>
    <w:rsid w:val="00032748"/>
    <w:rsid w:val="00036B5A"/>
    <w:rsid w:val="00041539"/>
    <w:rsid w:val="00042211"/>
    <w:rsid w:val="00050EA4"/>
    <w:rsid w:val="000613FE"/>
    <w:rsid w:val="00062971"/>
    <w:rsid w:val="000721E9"/>
    <w:rsid w:val="00075735"/>
    <w:rsid w:val="00077B96"/>
    <w:rsid w:val="00077DB1"/>
    <w:rsid w:val="00083F38"/>
    <w:rsid w:val="000A07E9"/>
    <w:rsid w:val="000C0236"/>
    <w:rsid w:val="000D0FA6"/>
    <w:rsid w:val="000D260C"/>
    <w:rsid w:val="0010583E"/>
    <w:rsid w:val="00110753"/>
    <w:rsid w:val="00115421"/>
    <w:rsid w:val="00123132"/>
    <w:rsid w:val="00133ADB"/>
    <w:rsid w:val="0014223E"/>
    <w:rsid w:val="00144859"/>
    <w:rsid w:val="00145CA3"/>
    <w:rsid w:val="00155F0C"/>
    <w:rsid w:val="001563F5"/>
    <w:rsid w:val="00173698"/>
    <w:rsid w:val="00191AFB"/>
    <w:rsid w:val="001A35EF"/>
    <w:rsid w:val="001B1B0C"/>
    <w:rsid w:val="001B325B"/>
    <w:rsid w:val="001C4465"/>
    <w:rsid w:val="001D152D"/>
    <w:rsid w:val="001D436C"/>
    <w:rsid w:val="001E3B39"/>
    <w:rsid w:val="001E3CD5"/>
    <w:rsid w:val="00200388"/>
    <w:rsid w:val="0020321A"/>
    <w:rsid w:val="00207D89"/>
    <w:rsid w:val="00212118"/>
    <w:rsid w:val="002131EB"/>
    <w:rsid w:val="00231418"/>
    <w:rsid w:val="00242CE7"/>
    <w:rsid w:val="00254EB8"/>
    <w:rsid w:val="00274C0E"/>
    <w:rsid w:val="0028794F"/>
    <w:rsid w:val="00296264"/>
    <w:rsid w:val="002A62A1"/>
    <w:rsid w:val="002B7B27"/>
    <w:rsid w:val="002C157A"/>
    <w:rsid w:val="002D06CC"/>
    <w:rsid w:val="002D7206"/>
    <w:rsid w:val="002E02D4"/>
    <w:rsid w:val="00301615"/>
    <w:rsid w:val="003107F0"/>
    <w:rsid w:val="00311631"/>
    <w:rsid w:val="00317826"/>
    <w:rsid w:val="00322488"/>
    <w:rsid w:val="003240F7"/>
    <w:rsid w:val="00327701"/>
    <w:rsid w:val="00330762"/>
    <w:rsid w:val="00350353"/>
    <w:rsid w:val="00371959"/>
    <w:rsid w:val="00377728"/>
    <w:rsid w:val="003832EA"/>
    <w:rsid w:val="003950E6"/>
    <w:rsid w:val="003A2F4D"/>
    <w:rsid w:val="003A321F"/>
    <w:rsid w:val="003A4C67"/>
    <w:rsid w:val="003A54A5"/>
    <w:rsid w:val="003A6EC0"/>
    <w:rsid w:val="003B78FA"/>
    <w:rsid w:val="003C425A"/>
    <w:rsid w:val="003E0C79"/>
    <w:rsid w:val="003E7C03"/>
    <w:rsid w:val="00400368"/>
    <w:rsid w:val="004010E6"/>
    <w:rsid w:val="00426681"/>
    <w:rsid w:val="00427336"/>
    <w:rsid w:val="004302E5"/>
    <w:rsid w:val="00437434"/>
    <w:rsid w:val="00484520"/>
    <w:rsid w:val="00497BD1"/>
    <w:rsid w:val="004A1FEA"/>
    <w:rsid w:val="004A5209"/>
    <w:rsid w:val="004A694A"/>
    <w:rsid w:val="004C1D42"/>
    <w:rsid w:val="004C435D"/>
    <w:rsid w:val="004C60AA"/>
    <w:rsid w:val="004D2727"/>
    <w:rsid w:val="004E144C"/>
    <w:rsid w:val="004F40DA"/>
    <w:rsid w:val="0050024A"/>
    <w:rsid w:val="00500956"/>
    <w:rsid w:val="00504BA0"/>
    <w:rsid w:val="00511BF4"/>
    <w:rsid w:val="00534587"/>
    <w:rsid w:val="0055417B"/>
    <w:rsid w:val="005556B5"/>
    <w:rsid w:val="00556805"/>
    <w:rsid w:val="00560415"/>
    <w:rsid w:val="0056056E"/>
    <w:rsid w:val="0056232E"/>
    <w:rsid w:val="005742DA"/>
    <w:rsid w:val="005746B1"/>
    <w:rsid w:val="00576861"/>
    <w:rsid w:val="005853A2"/>
    <w:rsid w:val="00585C63"/>
    <w:rsid w:val="005903CE"/>
    <w:rsid w:val="005A01E0"/>
    <w:rsid w:val="005A5D2C"/>
    <w:rsid w:val="005B3620"/>
    <w:rsid w:val="005B78DE"/>
    <w:rsid w:val="005C5F49"/>
    <w:rsid w:val="005D72DD"/>
    <w:rsid w:val="005F214B"/>
    <w:rsid w:val="006137FA"/>
    <w:rsid w:val="00615321"/>
    <w:rsid w:val="00633105"/>
    <w:rsid w:val="0064385C"/>
    <w:rsid w:val="006444BE"/>
    <w:rsid w:val="00662395"/>
    <w:rsid w:val="00665BE0"/>
    <w:rsid w:val="00665E50"/>
    <w:rsid w:val="0067121D"/>
    <w:rsid w:val="00674497"/>
    <w:rsid w:val="0067450C"/>
    <w:rsid w:val="00675066"/>
    <w:rsid w:val="00677517"/>
    <w:rsid w:val="00683446"/>
    <w:rsid w:val="00686253"/>
    <w:rsid w:val="00690546"/>
    <w:rsid w:val="006916E0"/>
    <w:rsid w:val="0069200B"/>
    <w:rsid w:val="006A0B3E"/>
    <w:rsid w:val="006A0F85"/>
    <w:rsid w:val="006A40E9"/>
    <w:rsid w:val="006A5745"/>
    <w:rsid w:val="006A7685"/>
    <w:rsid w:val="006C1988"/>
    <w:rsid w:val="006D24A7"/>
    <w:rsid w:val="006D776F"/>
    <w:rsid w:val="006E0898"/>
    <w:rsid w:val="006E0E96"/>
    <w:rsid w:val="0071371A"/>
    <w:rsid w:val="007250A1"/>
    <w:rsid w:val="0073311C"/>
    <w:rsid w:val="00734605"/>
    <w:rsid w:val="00744F8E"/>
    <w:rsid w:val="007457C9"/>
    <w:rsid w:val="00761BCB"/>
    <w:rsid w:val="0079355E"/>
    <w:rsid w:val="007A573D"/>
    <w:rsid w:val="007B09D0"/>
    <w:rsid w:val="007B3253"/>
    <w:rsid w:val="007B6BBF"/>
    <w:rsid w:val="007C0979"/>
    <w:rsid w:val="007C3E80"/>
    <w:rsid w:val="007D466A"/>
    <w:rsid w:val="007E1B58"/>
    <w:rsid w:val="007E2E18"/>
    <w:rsid w:val="008131F7"/>
    <w:rsid w:val="008166EA"/>
    <w:rsid w:val="00817BF5"/>
    <w:rsid w:val="00817E74"/>
    <w:rsid w:val="008241F8"/>
    <w:rsid w:val="00832CE0"/>
    <w:rsid w:val="00841464"/>
    <w:rsid w:val="008446DB"/>
    <w:rsid w:val="00863556"/>
    <w:rsid w:val="00865E71"/>
    <w:rsid w:val="00871C8A"/>
    <w:rsid w:val="00880127"/>
    <w:rsid w:val="008A20EF"/>
    <w:rsid w:val="008A3F51"/>
    <w:rsid w:val="008A612E"/>
    <w:rsid w:val="008A618D"/>
    <w:rsid w:val="008B45BF"/>
    <w:rsid w:val="008D314B"/>
    <w:rsid w:val="008E5842"/>
    <w:rsid w:val="008F13FA"/>
    <w:rsid w:val="0090645C"/>
    <w:rsid w:val="0092313F"/>
    <w:rsid w:val="0093735A"/>
    <w:rsid w:val="00941E9A"/>
    <w:rsid w:val="009505F5"/>
    <w:rsid w:val="00951688"/>
    <w:rsid w:val="00954C44"/>
    <w:rsid w:val="00956602"/>
    <w:rsid w:val="00962F19"/>
    <w:rsid w:val="009653E0"/>
    <w:rsid w:val="00972249"/>
    <w:rsid w:val="009738DB"/>
    <w:rsid w:val="00985FE7"/>
    <w:rsid w:val="009A182B"/>
    <w:rsid w:val="009A2331"/>
    <w:rsid w:val="009B2C75"/>
    <w:rsid w:val="009C1D9B"/>
    <w:rsid w:val="009C506E"/>
    <w:rsid w:val="009D20A8"/>
    <w:rsid w:val="009D25AB"/>
    <w:rsid w:val="009E2017"/>
    <w:rsid w:val="00A03C7E"/>
    <w:rsid w:val="00A200DC"/>
    <w:rsid w:val="00A24AEF"/>
    <w:rsid w:val="00A27537"/>
    <w:rsid w:val="00A3569E"/>
    <w:rsid w:val="00A51026"/>
    <w:rsid w:val="00A52D58"/>
    <w:rsid w:val="00A7083B"/>
    <w:rsid w:val="00A72712"/>
    <w:rsid w:val="00A81911"/>
    <w:rsid w:val="00A9311F"/>
    <w:rsid w:val="00AB2D9E"/>
    <w:rsid w:val="00AB2EDD"/>
    <w:rsid w:val="00AB51E5"/>
    <w:rsid w:val="00AC79EA"/>
    <w:rsid w:val="00AD1C84"/>
    <w:rsid w:val="00AE791E"/>
    <w:rsid w:val="00AF7952"/>
    <w:rsid w:val="00B0174A"/>
    <w:rsid w:val="00B01EE4"/>
    <w:rsid w:val="00B01EFC"/>
    <w:rsid w:val="00B06E74"/>
    <w:rsid w:val="00B078BF"/>
    <w:rsid w:val="00B15839"/>
    <w:rsid w:val="00B30851"/>
    <w:rsid w:val="00B31E3D"/>
    <w:rsid w:val="00B32497"/>
    <w:rsid w:val="00B37F00"/>
    <w:rsid w:val="00B465B6"/>
    <w:rsid w:val="00B6283A"/>
    <w:rsid w:val="00B72D04"/>
    <w:rsid w:val="00B735A4"/>
    <w:rsid w:val="00B764FA"/>
    <w:rsid w:val="00B84931"/>
    <w:rsid w:val="00B9305C"/>
    <w:rsid w:val="00B977AB"/>
    <w:rsid w:val="00BA278E"/>
    <w:rsid w:val="00BA5192"/>
    <w:rsid w:val="00BA5B7E"/>
    <w:rsid w:val="00BB39A8"/>
    <w:rsid w:val="00BE6D61"/>
    <w:rsid w:val="00BF1B2B"/>
    <w:rsid w:val="00BF3331"/>
    <w:rsid w:val="00C00202"/>
    <w:rsid w:val="00C020F6"/>
    <w:rsid w:val="00C02174"/>
    <w:rsid w:val="00C02546"/>
    <w:rsid w:val="00C03540"/>
    <w:rsid w:val="00C03ABC"/>
    <w:rsid w:val="00C07C3D"/>
    <w:rsid w:val="00C15E9B"/>
    <w:rsid w:val="00C27735"/>
    <w:rsid w:val="00C3345B"/>
    <w:rsid w:val="00C4478C"/>
    <w:rsid w:val="00C468A6"/>
    <w:rsid w:val="00C5749E"/>
    <w:rsid w:val="00C63540"/>
    <w:rsid w:val="00C6570A"/>
    <w:rsid w:val="00C706D7"/>
    <w:rsid w:val="00C77090"/>
    <w:rsid w:val="00C84D79"/>
    <w:rsid w:val="00C942AC"/>
    <w:rsid w:val="00C9457D"/>
    <w:rsid w:val="00C976AB"/>
    <w:rsid w:val="00CA0915"/>
    <w:rsid w:val="00CA43F9"/>
    <w:rsid w:val="00CB0EDB"/>
    <w:rsid w:val="00CB1748"/>
    <w:rsid w:val="00CB221B"/>
    <w:rsid w:val="00CB6359"/>
    <w:rsid w:val="00CC0DCF"/>
    <w:rsid w:val="00CD412F"/>
    <w:rsid w:val="00CE443E"/>
    <w:rsid w:val="00CF2543"/>
    <w:rsid w:val="00CF7538"/>
    <w:rsid w:val="00D058C1"/>
    <w:rsid w:val="00D406FA"/>
    <w:rsid w:val="00D40937"/>
    <w:rsid w:val="00D51FD0"/>
    <w:rsid w:val="00D55039"/>
    <w:rsid w:val="00D61527"/>
    <w:rsid w:val="00D76879"/>
    <w:rsid w:val="00D833E9"/>
    <w:rsid w:val="00D95AB8"/>
    <w:rsid w:val="00DA1AF9"/>
    <w:rsid w:val="00DA2052"/>
    <w:rsid w:val="00DA45A7"/>
    <w:rsid w:val="00DA7350"/>
    <w:rsid w:val="00DB30F6"/>
    <w:rsid w:val="00DB432B"/>
    <w:rsid w:val="00DB65F4"/>
    <w:rsid w:val="00DC1A4B"/>
    <w:rsid w:val="00DC46EF"/>
    <w:rsid w:val="00DD2BE1"/>
    <w:rsid w:val="00DF1B7E"/>
    <w:rsid w:val="00E052A2"/>
    <w:rsid w:val="00E12BB7"/>
    <w:rsid w:val="00E1324E"/>
    <w:rsid w:val="00E2665E"/>
    <w:rsid w:val="00E27738"/>
    <w:rsid w:val="00E347B8"/>
    <w:rsid w:val="00E35145"/>
    <w:rsid w:val="00E35B77"/>
    <w:rsid w:val="00E55CEB"/>
    <w:rsid w:val="00E674EE"/>
    <w:rsid w:val="00E73786"/>
    <w:rsid w:val="00E87FB5"/>
    <w:rsid w:val="00E94C23"/>
    <w:rsid w:val="00E953D9"/>
    <w:rsid w:val="00E9681C"/>
    <w:rsid w:val="00EA21BF"/>
    <w:rsid w:val="00EA24D4"/>
    <w:rsid w:val="00EB1F28"/>
    <w:rsid w:val="00EC3905"/>
    <w:rsid w:val="00ED0B76"/>
    <w:rsid w:val="00ED6FCC"/>
    <w:rsid w:val="00EF11BD"/>
    <w:rsid w:val="00EF1903"/>
    <w:rsid w:val="00F0032E"/>
    <w:rsid w:val="00F00F3B"/>
    <w:rsid w:val="00F248EC"/>
    <w:rsid w:val="00F279C3"/>
    <w:rsid w:val="00F32217"/>
    <w:rsid w:val="00F41E92"/>
    <w:rsid w:val="00F544FF"/>
    <w:rsid w:val="00F63080"/>
    <w:rsid w:val="00F64ABD"/>
    <w:rsid w:val="00F705AC"/>
    <w:rsid w:val="00F77ADD"/>
    <w:rsid w:val="00FA29AF"/>
    <w:rsid w:val="00FA3A69"/>
    <w:rsid w:val="00FA4580"/>
    <w:rsid w:val="00FB0B4F"/>
    <w:rsid w:val="00FB3CB0"/>
    <w:rsid w:val="00FC3362"/>
    <w:rsid w:val="00FC4A30"/>
    <w:rsid w:val="00FD1DA8"/>
    <w:rsid w:val="00FD2365"/>
    <w:rsid w:val="00FD297C"/>
    <w:rsid w:val="00FE2582"/>
    <w:rsid w:val="00FE4BC2"/>
    <w:rsid w:val="00FF0757"/>
    <w:rsid w:val="05ED35C6"/>
    <w:rsid w:val="06F05772"/>
    <w:rsid w:val="0A9642EF"/>
    <w:rsid w:val="0F773AEC"/>
    <w:rsid w:val="11697B20"/>
    <w:rsid w:val="15FE0523"/>
    <w:rsid w:val="17BA698E"/>
    <w:rsid w:val="19026244"/>
    <w:rsid w:val="1B80312D"/>
    <w:rsid w:val="1BCD57AB"/>
    <w:rsid w:val="1D480E56"/>
    <w:rsid w:val="20E33285"/>
    <w:rsid w:val="25780405"/>
    <w:rsid w:val="29E3551A"/>
    <w:rsid w:val="2C144DE1"/>
    <w:rsid w:val="2CAC6259"/>
    <w:rsid w:val="2E312917"/>
    <w:rsid w:val="32262752"/>
    <w:rsid w:val="3CB73A7D"/>
    <w:rsid w:val="3D4C2D92"/>
    <w:rsid w:val="407A60D5"/>
    <w:rsid w:val="43056A83"/>
    <w:rsid w:val="44EE0B22"/>
    <w:rsid w:val="46405003"/>
    <w:rsid w:val="48303E4C"/>
    <w:rsid w:val="556C60B3"/>
    <w:rsid w:val="5A21156A"/>
    <w:rsid w:val="5C805BD1"/>
    <w:rsid w:val="5FCC0B56"/>
    <w:rsid w:val="627B71A0"/>
    <w:rsid w:val="633E4CE0"/>
    <w:rsid w:val="636A1027"/>
    <w:rsid w:val="637F0FCD"/>
    <w:rsid w:val="66C441CE"/>
    <w:rsid w:val="68806B01"/>
    <w:rsid w:val="70427A3C"/>
    <w:rsid w:val="72617A36"/>
    <w:rsid w:val="785D467C"/>
    <w:rsid w:val="7C9B7F4A"/>
    <w:rsid w:val="7F242C2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99"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link w:val="14"/>
    <w:qFormat/>
    <w:uiPriority w:val="99"/>
    <w:pPr>
      <w:keepNext/>
      <w:keepLines/>
      <w:spacing w:before="260" w:after="260" w:line="416" w:lineRule="auto"/>
      <w:outlineLvl w:val="2"/>
    </w:pPr>
    <w:rPr>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1"/>
    <w:semiHidden/>
    <w:unhideWhenUsed/>
    <w:qFormat/>
    <w:uiPriority w:val="99"/>
    <w:pPr>
      <w:jc w:val="left"/>
    </w:pPr>
  </w:style>
  <w:style w:type="paragraph" w:styleId="4">
    <w:name w:val="Balloon Text"/>
    <w:basedOn w:val="1"/>
    <w:link w:val="16"/>
    <w:semiHidden/>
    <w:qFormat/>
    <w:uiPriority w:val="99"/>
    <w:rPr>
      <w:sz w:val="18"/>
      <w:szCs w:val="18"/>
    </w:rPr>
  </w:style>
  <w:style w:type="paragraph" w:styleId="5">
    <w:name w:val="footer"/>
    <w:basedOn w:val="1"/>
    <w:link w:val="17"/>
    <w:qFormat/>
    <w:uiPriority w:val="99"/>
    <w:pPr>
      <w:tabs>
        <w:tab w:val="center" w:pos="4153"/>
        <w:tab w:val="right" w:pos="8306"/>
      </w:tabs>
      <w:snapToGrid w:val="0"/>
      <w:jc w:val="left"/>
    </w:pPr>
    <w:rPr>
      <w:sz w:val="18"/>
      <w:szCs w:val="18"/>
    </w:rPr>
  </w:style>
  <w:style w:type="paragraph" w:styleId="6">
    <w:name w:val="header"/>
    <w:basedOn w:val="1"/>
    <w:link w:val="18"/>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widowControl/>
      <w:spacing w:before="100" w:beforeAutospacing="1" w:after="100" w:afterAutospacing="1"/>
      <w:jc w:val="left"/>
    </w:pPr>
    <w:rPr>
      <w:rFonts w:ascii="宋体" w:hAnsi="宋体" w:cs="宋体"/>
      <w:kern w:val="0"/>
      <w:sz w:val="24"/>
      <w:szCs w:val="20"/>
    </w:rPr>
  </w:style>
  <w:style w:type="paragraph" w:styleId="8">
    <w:name w:val="annotation subject"/>
    <w:basedOn w:val="3"/>
    <w:next w:val="3"/>
    <w:link w:val="22"/>
    <w:semiHidden/>
    <w:unhideWhenUsed/>
    <w:qFormat/>
    <w:uiPriority w:val="99"/>
    <w:rPr>
      <w:b/>
      <w:bCs/>
    </w:rPr>
  </w:style>
  <w:style w:type="character" w:styleId="11">
    <w:name w:val="page number"/>
    <w:basedOn w:val="10"/>
    <w:qFormat/>
    <w:uiPriority w:val="99"/>
    <w:rPr>
      <w:rFonts w:cs="Times New Roman"/>
    </w:rPr>
  </w:style>
  <w:style w:type="character" w:styleId="12">
    <w:name w:val="Emphasis"/>
    <w:basedOn w:val="10"/>
    <w:qFormat/>
    <w:uiPriority w:val="99"/>
    <w:rPr>
      <w:rFonts w:cs="Times New Roman"/>
      <w:i/>
      <w:iCs/>
    </w:rPr>
  </w:style>
  <w:style w:type="character" w:styleId="13">
    <w:name w:val="annotation reference"/>
    <w:basedOn w:val="10"/>
    <w:semiHidden/>
    <w:unhideWhenUsed/>
    <w:qFormat/>
    <w:uiPriority w:val="99"/>
    <w:rPr>
      <w:sz w:val="21"/>
      <w:szCs w:val="21"/>
    </w:rPr>
  </w:style>
  <w:style w:type="character" w:customStyle="1" w:styleId="14">
    <w:name w:val="标题 3 Char"/>
    <w:basedOn w:val="10"/>
    <w:link w:val="2"/>
    <w:qFormat/>
    <w:locked/>
    <w:uiPriority w:val="99"/>
    <w:rPr>
      <w:rFonts w:eastAsia="宋体" w:cs="Times New Roman"/>
      <w:b/>
      <w:bCs/>
      <w:kern w:val="2"/>
      <w:sz w:val="32"/>
      <w:szCs w:val="32"/>
      <w:lang w:val="en-US" w:eastAsia="zh-CN" w:bidi="ar-SA"/>
    </w:rPr>
  </w:style>
  <w:style w:type="paragraph" w:customStyle="1" w:styleId="15">
    <w:name w:val="纯文本1"/>
    <w:basedOn w:val="1"/>
    <w:qFormat/>
    <w:uiPriority w:val="99"/>
    <w:pPr>
      <w:autoSpaceDE w:val="0"/>
      <w:autoSpaceDN w:val="0"/>
      <w:adjustRightInd w:val="0"/>
    </w:pPr>
    <w:rPr>
      <w:rFonts w:ascii="宋体"/>
      <w:sz w:val="20"/>
      <w:szCs w:val="20"/>
    </w:rPr>
  </w:style>
  <w:style w:type="character" w:customStyle="1" w:styleId="16">
    <w:name w:val="批注框文本 Char"/>
    <w:basedOn w:val="10"/>
    <w:link w:val="4"/>
    <w:semiHidden/>
    <w:qFormat/>
    <w:locked/>
    <w:uiPriority w:val="99"/>
    <w:rPr>
      <w:rFonts w:cs="Times New Roman"/>
      <w:sz w:val="2"/>
    </w:rPr>
  </w:style>
  <w:style w:type="character" w:customStyle="1" w:styleId="17">
    <w:name w:val="页脚 Char"/>
    <w:basedOn w:val="10"/>
    <w:link w:val="5"/>
    <w:qFormat/>
    <w:locked/>
    <w:uiPriority w:val="99"/>
    <w:rPr>
      <w:rFonts w:cs="Times New Roman"/>
      <w:kern w:val="2"/>
      <w:sz w:val="18"/>
      <w:szCs w:val="18"/>
    </w:rPr>
  </w:style>
  <w:style w:type="character" w:customStyle="1" w:styleId="18">
    <w:name w:val="页眉 Char"/>
    <w:basedOn w:val="10"/>
    <w:link w:val="6"/>
    <w:qFormat/>
    <w:locked/>
    <w:uiPriority w:val="99"/>
    <w:rPr>
      <w:rFonts w:cs="Times New Roman"/>
      <w:kern w:val="2"/>
      <w:sz w:val="18"/>
      <w:szCs w:val="18"/>
    </w:rPr>
  </w:style>
  <w:style w:type="paragraph" w:customStyle="1" w:styleId="19">
    <w:name w:val="纯文本2"/>
    <w:basedOn w:val="1"/>
    <w:qFormat/>
    <w:uiPriority w:val="99"/>
    <w:pPr>
      <w:autoSpaceDE w:val="0"/>
      <w:autoSpaceDN w:val="0"/>
      <w:adjustRightInd w:val="0"/>
    </w:pPr>
    <w:rPr>
      <w:rFonts w:ascii="宋体"/>
      <w:sz w:val="20"/>
      <w:szCs w:val="20"/>
    </w:rPr>
  </w:style>
  <w:style w:type="paragraph" w:customStyle="1" w:styleId="20">
    <w:name w:val="纯文本3"/>
    <w:basedOn w:val="1"/>
    <w:qFormat/>
    <w:uiPriority w:val="0"/>
    <w:pPr>
      <w:autoSpaceDE w:val="0"/>
      <w:autoSpaceDN w:val="0"/>
      <w:adjustRightInd w:val="0"/>
    </w:pPr>
    <w:rPr>
      <w:rFonts w:ascii="宋体"/>
      <w:sz w:val="20"/>
      <w:szCs w:val="20"/>
    </w:rPr>
  </w:style>
  <w:style w:type="character" w:customStyle="1" w:styleId="21">
    <w:name w:val="批注文字 Char"/>
    <w:basedOn w:val="10"/>
    <w:link w:val="3"/>
    <w:semiHidden/>
    <w:qFormat/>
    <w:uiPriority w:val="99"/>
    <w:rPr>
      <w:szCs w:val="24"/>
    </w:rPr>
  </w:style>
  <w:style w:type="character" w:customStyle="1" w:styleId="22">
    <w:name w:val="批注主题 Char"/>
    <w:basedOn w:val="21"/>
    <w:link w:val="8"/>
    <w:semiHidden/>
    <w:qFormat/>
    <w:uiPriority w:val="99"/>
    <w:rPr>
      <w:b/>
      <w:bCs/>
      <w:szCs w:val="24"/>
    </w:rPr>
  </w:style>
  <w:style w:type="paragraph" w:customStyle="1" w:styleId="23">
    <w:name w:val="Plain Text"/>
    <w:basedOn w:val="1"/>
    <w:qFormat/>
    <w:uiPriority w:val="0"/>
    <w:pPr>
      <w:autoSpaceDE w:val="0"/>
      <w:autoSpaceDN w:val="0"/>
      <w:adjustRightInd w:val="0"/>
    </w:pPr>
    <w:rPr>
      <w:rFonts w:ascii="宋体"/>
      <w:sz w:val="20"/>
      <w:szCs w:val="20"/>
    </w:rPr>
  </w:style>
  <w:style w:type="character" w:customStyle="1" w:styleId="24">
    <w:name w:val="page number"/>
    <w:qFormat/>
    <w:uiPriority w:val="0"/>
    <w:rPr>
      <w:rFonts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406</Words>
  <Characters>2320</Characters>
  <Lines>19</Lines>
  <Paragraphs>5</Paragraphs>
  <TotalTime>11</TotalTime>
  <ScaleCrop>false</ScaleCrop>
  <LinksUpToDate>false</LinksUpToDate>
  <CharactersWithSpaces>2721</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2019-12-25T06:42:00Z</dcterms:created>
  <dc:creator>lifeng</dc:creator>
  <cp:lastModifiedBy>李丙健</cp:lastModifiedBy>
  <cp:lastPrinted>2020-08-25T07:15:00Z</cp:lastPrinted>
  <dcterms:modified xsi:type="dcterms:W3CDTF">2020-08-25T09:11:43Z</dcterms:modified>
  <dc:title>附件2</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