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附件：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相关专业设置分类指导目录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57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会计与审计类：</w:t>
      </w:r>
      <w:r>
        <w:rPr>
          <w:rFonts w:hint="eastAsia" w:ascii="仿宋" w:hAnsi="仿宋" w:eastAsia="仿宋"/>
          <w:sz w:val="28"/>
          <w:szCs w:val="28"/>
        </w:rPr>
        <w:t>会计学、会计、审计学、审计、财务管理、财务会计、国际会计、会计电算化、财务电算化、注册会计师、会计与统计核算、会计与审计、审计务实、统计务实、财务信息管理、工业或企业会计等相关专业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4877F4"/>
    <w:rsid w:val="4948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2020-08-10T09:04:00Z</dcterms:created>
  <dc:creator>沐柳平民</dc:creator>
  <cp:lastModifiedBy>沐柳平民</cp:lastModifiedBy>
  <dcterms:modified xsi:type="dcterms:W3CDTF">2020-08-10T09:09:59Z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