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2020年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绵阳实验高级中学直接考核招聘教师岗位和条件一览表</w:t>
      </w:r>
    </w:p>
    <w:bookmarkEnd w:id="0"/>
    <w:tbl>
      <w:tblPr>
        <w:tblW w:w="1445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19"/>
        <w:gridCol w:w="825"/>
        <w:gridCol w:w="967"/>
        <w:gridCol w:w="747"/>
        <w:gridCol w:w="7618"/>
        <w:gridCol w:w="30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招聘职位</w:t>
            </w:r>
          </w:p>
        </w:tc>
        <w:tc>
          <w:tcPr>
            <w:tcW w:w="6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7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9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7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取得学历相应学位</w:t>
            </w:r>
          </w:p>
        </w:tc>
        <w:tc>
          <w:tcPr>
            <w:tcW w:w="7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本科：化学、应用化学、化学生物学、分子科学与工程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研究生：无机化学、分析化学、有机化学、物理化学、高分子化学与物理、学科教学（化学）、课程与教学论</w:t>
            </w:r>
          </w:p>
        </w:tc>
        <w:tc>
          <w:tcPr>
            <w:tcW w:w="29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1、具有高中相应学科教师资格证；2、大学本科学历为部属师范院校2021年应届公费师范毕业生；3、研究生为2021年应届毕业生，但本科或研究生阶段应有师范大学就读经历。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本科：地理科学、自然地理与资源环境、人文地理与城乡规划、地理信息科学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研究生：自然地理学、人文地理学、地图学与地理信息系统、学科教学（地理）、课程与教学论</w:t>
            </w:r>
          </w:p>
        </w:tc>
        <w:tc>
          <w:tcPr>
            <w:tcW w:w="29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7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本科：生物科学、生物技术、生物信息学、生态学、生物信息技术、生物科学与生物技术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研究生：植物学、动物学、生理学、水生生物学、微生物学、神经生物学、遗传学、发育生物学、细胞生物学、生物化学与分子生物学、生物物理学、生态学、学科教学（生物）、课程与教学论</w:t>
            </w:r>
          </w:p>
        </w:tc>
        <w:tc>
          <w:tcPr>
            <w:tcW w:w="29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14027"/>
    <w:rsid w:val="024140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2020-08-27T08:15:00Z</dcterms:created>
  <dc:creator>ASUS</dc:creator>
  <cp:lastModifiedBy>ASUS</cp:lastModifiedBy>
  <dcterms:modified xsi:type="dcterms:W3CDTF">2020-08-27T08:16:09Z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