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惠州仲恺高新区东江高新科技产业园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东江科技园于2008年设立，是仲恺（国家级）高新区的重要组成部分，是惠州市重点建设的高端产业园区，地处东江之滨，坐拥“双高速一机场”地理位置优越。园区按照建设“土地集约利用、产业高端高效、产城融合生态、改革创新驱动的高质量发展示范园区”战略定位，借助良好的区位优势，主动承接高端产业和创新资源外溢，奋力打造高质量发展示范园区。目前建成区面积约8平方公里，引进华阳集团、伊利乳业、大金空调、赢合科技、艾比森光电等行业龙头项目，总投资额490亿元；截止2019年实现地区生产总值35.6亿元，工业总产值136.47亿元。 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这是一个集约发展的高端园区。园区以高端项目引领产业转型升级，重点对标深圳等发达地区，承接高新技术产业转移，形成移动通讯、汽车电子、智能装备、新能源新材料，以及持续型消费、文化创意产业等“4+2”现代产业体系。落户企业基本是细分行业前三名，80%以上为上市公司或正在筹备上市的公司。目前园区汇聚上市公司28家（含新三板4家），其中园区本土上市公司4家（含新三板2家）；年税收超亿元企业2家、超2000万元6家、超1000万元14家。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这是一个创新集聚的活力园区。创新载体扩容，建成国家级孵化器，打造惠州首个人工智能主题国家级众创空间（科创新源），高标准升级新能源产业孵化器，建成30万㎡科技企业加速器联盟。孵化器总面积达15.03万㎡，其中，民营孵化器5万㎡。创新主体提质，孵化器企业新增一倍，高企、专利实现双倍增，新型研发机构新增至8家，省级工程中心9家、市级11家，省级企业技术中心5家、市级6家。科技人才高端集聚，吸引1名诺贝尔奖科学家、4名“两院院士”、2名“万人计划”、3名中科院“百人计划”专家等一批高层次人才。科技金融精准对接，新发起设立500万元天使投资基金、1亿元东升产业基金，基金总规模增至5支8亿元；正在发起筹建10亿元规模的半导体产业基金。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这是一个产城融合的精品园区。园区发挥“滨临东江、毗邻机场、坐拥双高速一轻轨”的区位优势，打造产城人深度融合的精品园区。建立了省一级派出所、省一级公立学校、社区卫生服务中心、水质净化中心、社区体育公园、礼乐公园、诚信广场、消防站、公交首末站等一批高质量公共配套，以及一批高端商业地产项目；开发工业观光产业，年接待游客2万多人；荣获省市共建循环经济产业基地。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展望未来，园区将紧紧抓住仲恺高新区打造国家一流高新区重大战略机遇，突出“招商与引智”，融合“资本与产业”，完善“平台与服务”，加快将东江科技园打造成为企业家、创业者、科技管理人员和产业工人能够愿意来、留得下、发展好的科技新城。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041447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  <w:r>
          <w:rPr>
            <w:rFonts w:hint="eastAsia"/>
          </w:rPr>
          <w:t>-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974"/>
    <w:rsid w:val="003B246A"/>
    <w:rsid w:val="006A5E52"/>
    <w:rsid w:val="00853746"/>
    <w:rsid w:val="00B659F9"/>
    <w:rsid w:val="00BF7099"/>
    <w:rsid w:val="00CC2023"/>
    <w:rsid w:val="00E04974"/>
    <w:rsid w:val="1A99602B"/>
    <w:rsid w:val="1ACD121D"/>
    <w:rsid w:val="651018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No Spacing"/>
    <w:link w:val="9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9">
    <w:name w:val="无间隔 Char"/>
    <w:basedOn w:val="5"/>
    <w:link w:val="8"/>
    <w:uiPriority w:val="1"/>
    <w:rPr>
      <w:rFonts w:asciiTheme="minorHAnsi" w:hAnsiTheme="minorHAnsi" w:eastAsiaTheme="minorEastAsia" w:cstheme="min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167</Words>
  <Characters>956</Characters>
  <Lines>7</Lines>
  <Paragraphs>2</Paragraphs>
  <TotalTime>0</TotalTime>
  <ScaleCrop>false</ScaleCrop>
  <LinksUpToDate>false</LinksUpToDate>
  <CharactersWithSpaces>1121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2020-08-19T07:15:00Z</dcterms:created>
  <dc:creator>Administrator</dc:creator>
  <cp:lastModifiedBy> 冇</cp:lastModifiedBy>
  <cp:lastPrinted>2020-08-19T03:23:00Z</cp:lastPrinted>
  <dcterms:modified xsi:type="dcterms:W3CDTF">2020-09-01T02:53:26Z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