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CellSpacing w:w="7" w:type="dxa"/>
        <w:tblInd w:w="1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CCCCC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9"/>
        <w:gridCol w:w="1118"/>
        <w:gridCol w:w="266"/>
        <w:gridCol w:w="410"/>
        <w:gridCol w:w="281"/>
        <w:gridCol w:w="425"/>
        <w:gridCol w:w="625"/>
        <w:gridCol w:w="1288"/>
        <w:gridCol w:w="625"/>
        <w:gridCol w:w="841"/>
        <w:gridCol w:w="481"/>
        <w:gridCol w:w="1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CCCCC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主管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单位性质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资格证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对象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户籍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0" w:type="auto"/>
            <w:shd w:val="clear" w:color="auto" w:fill="EFEFE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restart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静乐县教育科技局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（100名）</w:t>
            </w:r>
          </w:p>
        </w:tc>
        <w:tc>
          <w:tcPr>
            <w:tcW w:w="0" w:type="auto"/>
            <w:vMerge w:val="restart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静乐县幼儿园（12名）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静乐县第二幼儿园（76名）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静乐县第三幼儿园（12名）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全额事业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中专及以上学历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幼儿教育、学前教育、学前教育学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幼儿教师资格证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应届生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静乐县户籍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具有幼儿教师资格证的专业不限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全额事业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中专及以上学历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幼儿教育、学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前教育、学前教育学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幼儿教师资格证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静乐县户籍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具有幼儿教师资格证的专业不限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vMerge w:val="continue"/>
            <w:shd w:val="clear" w:color="auto" w:fill="CCCCCC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全额事业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中专及以上学历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幼儿教育、学前教育、学前教育学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幼儿教师资格证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服务基层项目专门岗位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静乐县户籍</w:t>
            </w:r>
          </w:p>
        </w:tc>
        <w:tc>
          <w:tcPr>
            <w:tcW w:w="0" w:type="auto"/>
            <w:shd w:val="clear" w:color="auto" w:fill="CCCCCC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具有幼儿教师资格证的专业不限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5A48A5"/>
    <w:rsid w:val="10D42C11"/>
    <w:rsid w:val="1C5A48A5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2020-09-03T01:49:00Z</dcterms:created>
  <dc:creator>冰凝</dc:creator>
  <cp:lastModifiedBy>冰凝</cp:lastModifiedBy>
  <dcterms:modified xsi:type="dcterms:W3CDTF">2020-09-03T01:50:09Z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