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center"/>
        <w:outlineLvl w:val="0"/>
        <w:rPr>
          <w:rFonts w:hint="eastAsia" w:ascii="宋体" w:hAnsi="宋体" w:eastAsia="宋体" w:cs="宋体"/>
          <w:b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outlineLvl w:val="0"/>
        <w:rPr>
          <w:rFonts w:hint="eastAsia" w:ascii="宋体" w:hAnsi="宋体" w:eastAsia="宋体" w:cs="宋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32"/>
          <w:szCs w:val="32"/>
        </w:rPr>
        <w:t>中小学教师资格考试（笔试）成绩复核申请表</w:t>
      </w: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申请日期：    月    日</w:t>
      </w:r>
    </w:p>
    <w:tbl>
      <w:tblPr>
        <w:tblStyle w:val="2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591"/>
        <w:gridCol w:w="1800"/>
        <w:gridCol w:w="1223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准考证号</w:t>
            </w:r>
          </w:p>
        </w:tc>
        <w:tc>
          <w:tcPr>
            <w:tcW w:w="1591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180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复核</w:t>
            </w:r>
          </w:p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科目代码</w:t>
            </w: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网站</w:t>
            </w:r>
          </w:p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查询分数</w:t>
            </w: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复核结果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800" w:type="dxa"/>
            <w:vMerge w:val="restart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20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7494" w:type="dxa"/>
            <w:gridSpan w:val="5"/>
          </w:tcPr>
          <w:p>
            <w:pPr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 xml:space="preserve">                                  </w:t>
      </w:r>
    </w:p>
    <w:p>
      <w:p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备注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outlineLvl w:val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要求成绩复核的考生可在</w:t>
      </w:r>
      <w:r>
        <w:rPr>
          <w:rFonts w:hint="eastAsia" w:ascii="仿宋_GB2312" w:eastAsia="仿宋_GB2312"/>
          <w:sz w:val="28"/>
          <w:szCs w:val="28"/>
        </w:rPr>
        <w:t>考试成绩公布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个工作日内认真填写此表后到所报考区提出复核申请。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复核范围为漏登分、错累分、漏评卷，凡涉及评阅宽严尺度问题的一律不予复查。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outlineLvl w:val="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工作人员将在受理复核申请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个工作日内通过电子邮件或电话回复成绩复核结果。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C61FC"/>
    <w:multiLevelType w:val="multilevel"/>
    <w:tmpl w:val="1FDC61FC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hAnsi="宋体" w:cs="宋体"/>
        <w:b/>
        <w:color w:val="00000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A6491"/>
    <w:rsid w:val="14BA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2020-09-08T04:07:00Z</dcterms:created>
  <dc:creator>燕南</dc:creator>
  <cp:lastModifiedBy>燕南</cp:lastModifiedBy>
  <dcterms:modified xsi:type="dcterms:W3CDTF">2020-09-08T04:07:44Z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