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4"/>
          <w:szCs w:val="24"/>
        </w:rPr>
      </w:pPr>
      <w:r>
        <w:rPr>
          <w:rFonts w:hint="eastAsia" w:ascii="方正小标宋简体" w:eastAsia="方正小标宋简体"/>
          <w:sz w:val="30"/>
          <w:szCs w:val="30"/>
        </w:rPr>
        <w:t>遵义市20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20</w:t>
      </w:r>
      <w:r>
        <w:rPr>
          <w:rFonts w:hint="eastAsia" w:ascii="方正小标宋简体" w:eastAsia="方正小标宋简体"/>
          <w:sz w:val="30"/>
          <w:szCs w:val="30"/>
        </w:rPr>
        <w:t xml:space="preserve"> 年市直事业单位公开选调工作人员报名推荐表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此表一式三份，一份选调单位留存，一份返还报考者，一份报市人力资源和社会保障局。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21A1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329</TotalTime>
  <ScaleCrop>false</ScaleCrop>
  <LinksUpToDate>false</LinksUpToDate>
  <CharactersWithSpaces>644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远航洋帆</cp:lastModifiedBy>
  <cp:lastPrinted>2017-11-24T08:12:00Z</cp:lastPrinted>
  <dcterms:modified xsi:type="dcterms:W3CDTF">2020-05-08T00:24:53Z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