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1" w:lineRule="atLeast"/>
        <w:ind w:left="0" w:right="0" w:firstLine="0"/>
        <w:jc w:val="center"/>
        <w:rPr>
          <w:rFonts w:hint="eastAsia" w:ascii="黑体" w:eastAsia="黑体" w:cs="黑体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caps w:val="0"/>
          <w:color w:val="333333"/>
          <w:spacing w:val="0"/>
          <w:sz w:val="30"/>
          <w:szCs w:val="30"/>
          <w:shd w:val="clear" w:fill="FFFFFF"/>
        </w:rPr>
        <w:t>2020年度</w:t>
      </w:r>
      <w:r>
        <w:rPr>
          <w:rFonts w:hint="eastAsia" w:ascii="黑体" w:hAnsi="宋体" w:eastAsia="黑体" w:cs="黑体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临洮县教育系统第二批引进急需紧缺人才</w:t>
      </w:r>
      <w:r>
        <w:rPr>
          <w:rFonts w:hint="eastAsia" w:ascii="黑体" w:eastAsia="黑体" w:cs="黑体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岗位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2331720"/>
            <wp:effectExtent l="0" t="0" r="152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72472"/>
    <w:rsid w:val="2CF724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2020-10-20T09:11:00Z</dcterms:created>
  <dc:creator>ASUS</dc:creator>
  <cp:lastModifiedBy>ASUS</cp:lastModifiedBy>
  <dcterms:modified xsi:type="dcterms:W3CDTF">2020-10-20T09:19:24Z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