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hint="eastAsia" w:ascii="方正小标宋简体" w:eastAsia="方正小标宋简体"/>
          <w:sz w:val="44"/>
          <w:szCs w:val="44"/>
          <w:u w:val="none"/>
        </w:rPr>
      </w:pPr>
      <w:r>
        <w:rPr>
          <w:rFonts w:hint="eastAsia" w:ascii="方正小标宋简体" w:eastAsia="方正小标宋简体"/>
          <w:sz w:val="44"/>
          <w:szCs w:val="44"/>
          <w:u w:val="none"/>
          <w:lang w:val="en-US" w:eastAsia="zh-CN"/>
        </w:rPr>
        <w:t xml:space="preserve">  </w:t>
      </w:r>
      <w:r>
        <w:rPr>
          <w:rFonts w:hint="eastAsia" w:ascii="方正小标宋简体" w:eastAsia="方正小标宋简体"/>
          <w:sz w:val="44"/>
          <w:szCs w:val="44"/>
          <w:u w:val="none"/>
        </w:rPr>
        <w:t>深圳高级中学（集团）</w:t>
      </w:r>
    </w:p>
    <w:p>
      <w:pPr>
        <w:spacing w:line="580" w:lineRule="exact"/>
        <w:jc w:val="center"/>
        <w:rPr>
          <w:rFonts w:hint="eastAsia" w:ascii="方正小标宋简体" w:eastAsia="方正小标宋简体"/>
          <w:sz w:val="44"/>
          <w:szCs w:val="44"/>
          <w:u w:val="none"/>
        </w:rPr>
      </w:pPr>
      <w:r>
        <w:rPr>
          <w:rFonts w:hint="eastAsia" w:ascii="方正小标宋简体" w:eastAsia="方正小标宋简体"/>
          <w:sz w:val="44"/>
          <w:szCs w:val="44"/>
          <w:u w:val="none"/>
        </w:rPr>
        <w:t>招 聘 简 章</w:t>
      </w:r>
    </w:p>
    <w:p>
      <w:pPr>
        <w:rPr>
          <w:rFonts w:hint="eastAsia" w:eastAsia="黑体"/>
          <w:sz w:val="32"/>
          <w:szCs w:val="32"/>
          <w:u w:val="none"/>
          <w:lang w:eastAsia="zh-CN"/>
        </w:rPr>
      </w:pPr>
    </w:p>
    <w:p>
      <w:pPr>
        <w:spacing w:line="580" w:lineRule="exact"/>
        <w:rPr>
          <w:rFonts w:hint="eastAsia" w:ascii="仿宋_GB2312" w:eastAsia="仿宋_GB2312"/>
          <w:b/>
          <w:bCs/>
          <w:sz w:val="32"/>
          <w:szCs w:val="32"/>
          <w:u w:val="none"/>
        </w:rPr>
      </w:pPr>
      <w:r>
        <w:rPr>
          <w:rFonts w:hint="eastAsia" w:ascii="仿宋_GB2312" w:eastAsia="仿宋_GB2312"/>
          <w:b/>
          <w:bCs/>
          <w:sz w:val="32"/>
          <w:szCs w:val="32"/>
          <w:u w:val="none"/>
        </w:rPr>
        <w:t>一、办学性质及规模</w:t>
      </w:r>
    </w:p>
    <w:p>
      <w:pPr>
        <w:spacing w:line="580" w:lineRule="exact"/>
        <w:ind w:firstLine="645"/>
        <w:rPr>
          <w:rFonts w:hint="eastAsia" w:ascii="仿宋_GB2312" w:eastAsia="仿宋_GB2312"/>
          <w:sz w:val="32"/>
          <w:szCs w:val="32"/>
          <w:u w:val="none"/>
        </w:rPr>
      </w:pPr>
      <w:r>
        <w:rPr>
          <w:rFonts w:hint="eastAsia" w:ascii="仿宋_GB2312" w:eastAsia="仿宋_GB2312"/>
          <w:sz w:val="32"/>
          <w:szCs w:val="32"/>
          <w:u w:val="none"/>
        </w:rPr>
        <w:t>深圳高级中学（集团）是深圳市教育局直属公办完全中学，广东省国家级示范性高级中学，是国内首批全员全面全程使用现代化教学手段，建立信息化、网络化、数字化校园的新型现代化学校。</w:t>
      </w:r>
    </w:p>
    <w:p>
      <w:pPr>
        <w:spacing w:line="580" w:lineRule="exact"/>
        <w:ind w:firstLine="645"/>
        <w:rPr>
          <w:rFonts w:hint="eastAsia" w:ascii="仿宋_GB2312" w:eastAsia="仿宋_GB2312"/>
          <w:sz w:val="32"/>
          <w:szCs w:val="32"/>
          <w:u w:val="none"/>
        </w:rPr>
      </w:pPr>
      <w:r>
        <w:rPr>
          <w:rFonts w:hint="eastAsia" w:ascii="仿宋_GB2312" w:eastAsia="仿宋_GB2312"/>
          <w:sz w:val="32"/>
          <w:szCs w:val="32"/>
          <w:u w:val="none"/>
        </w:rPr>
        <w:t>深圳高级中学(集团)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现</w:t>
      </w:r>
      <w:r>
        <w:rPr>
          <w:rFonts w:hint="eastAsia" w:ascii="仿宋_GB2312" w:eastAsia="仿宋_GB2312"/>
          <w:sz w:val="32"/>
          <w:szCs w:val="32"/>
          <w:u w:val="none"/>
        </w:rPr>
        <w:t>设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四大</w:t>
      </w:r>
      <w:r>
        <w:rPr>
          <w:rFonts w:hint="eastAsia" w:ascii="仿宋_GB2312" w:eastAsia="仿宋_GB2312"/>
          <w:sz w:val="32"/>
          <w:szCs w:val="32"/>
          <w:u w:val="none"/>
        </w:rPr>
        <w:t>校区：</w:t>
      </w:r>
    </w:p>
    <w:p>
      <w:pPr>
        <w:spacing w:line="580" w:lineRule="exact"/>
        <w:ind w:firstLine="645"/>
        <w:rPr>
          <w:rFonts w:hint="eastAsia" w:ascii="仿宋_GB2312" w:eastAsia="仿宋_GB2312"/>
          <w:color w:val="auto"/>
          <w:sz w:val="32"/>
          <w:szCs w:val="32"/>
          <w:u w:val="none"/>
        </w:rPr>
      </w:pPr>
      <w:r>
        <w:rPr>
          <w:rFonts w:hint="eastAsia" w:ascii="仿宋_GB2312" w:eastAsia="仿宋_GB2312"/>
          <w:color w:val="auto"/>
          <w:sz w:val="32"/>
          <w:szCs w:val="32"/>
          <w:u w:val="none"/>
        </w:rPr>
        <w:t>中心校区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eastAsia="zh-CN"/>
        </w:rPr>
        <w:t>，位于福田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val="en-US" w:eastAsia="zh-CN"/>
        </w:rPr>
        <w:t>CBD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eastAsia="zh-CN"/>
        </w:rPr>
        <w:t>，数百米内，地铁1、2、7、9、11号线密布其间，交通便利；与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val="en-US" w:eastAsia="zh-CN"/>
        </w:rPr>
        <w:t>42.4万平米香蜜公园一街之隔，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eastAsia="zh-CN"/>
        </w:rPr>
        <w:t>闹中取静。中心校区现</w:t>
      </w:r>
      <w:r>
        <w:rPr>
          <w:rFonts w:hint="eastAsia" w:ascii="仿宋_GB2312" w:eastAsia="仿宋_GB2312"/>
          <w:color w:val="auto"/>
          <w:sz w:val="32"/>
          <w:szCs w:val="32"/>
          <w:u w:val="none"/>
        </w:rPr>
        <w:t>分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eastAsia="zh-CN"/>
        </w:rPr>
        <w:t>两部分，</w:t>
      </w:r>
      <w:r>
        <w:rPr>
          <w:rFonts w:hint="eastAsia" w:ascii="仿宋_GB2312" w:eastAsia="仿宋_GB2312"/>
          <w:color w:val="auto"/>
          <w:sz w:val="32"/>
          <w:szCs w:val="32"/>
          <w:u w:val="none"/>
        </w:rPr>
        <w:t>中心校区南现有高中40个班（地址：福田区春田路2号）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eastAsia="zh-CN"/>
        </w:rPr>
        <w:t>，</w:t>
      </w:r>
      <w:r>
        <w:rPr>
          <w:rFonts w:hint="eastAsia" w:ascii="仿宋_GB2312" w:eastAsia="仿宋_GB2312"/>
          <w:color w:val="auto"/>
          <w:sz w:val="32"/>
          <w:szCs w:val="32"/>
          <w:u w:val="none"/>
        </w:rPr>
        <w:t>中心校区北现有高中24个班（地址：福田区泽田路8号）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eastAsia="zh-CN"/>
        </w:rPr>
        <w:t>；</w:t>
      </w:r>
    </w:p>
    <w:p>
      <w:pPr>
        <w:spacing w:line="580" w:lineRule="exact"/>
        <w:ind w:left="0" w:leftChars="0" w:firstLine="645"/>
        <w:rPr>
          <w:rFonts w:hint="eastAsia" w:ascii="仿宋_GB2312" w:eastAsia="仿宋_GB2312"/>
          <w:color w:val="auto"/>
          <w:sz w:val="32"/>
          <w:szCs w:val="32"/>
          <w:u w:val="none"/>
        </w:rPr>
      </w:pPr>
      <w:r>
        <w:rPr>
          <w:rFonts w:hint="eastAsia" w:ascii="仿宋_GB2312" w:eastAsia="仿宋_GB2312"/>
          <w:color w:val="auto"/>
          <w:sz w:val="32"/>
          <w:szCs w:val="32"/>
          <w:u w:val="none"/>
          <w:lang w:eastAsia="zh-CN"/>
        </w:rPr>
        <w:t>南</w:t>
      </w:r>
      <w:r>
        <w:rPr>
          <w:rFonts w:hint="eastAsia" w:ascii="仿宋_GB2312" w:eastAsia="仿宋_GB2312"/>
          <w:color w:val="auto"/>
          <w:sz w:val="32"/>
          <w:szCs w:val="32"/>
          <w:u w:val="none"/>
        </w:rPr>
        <w:t>校区，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eastAsia="zh-CN"/>
        </w:rPr>
        <w:t>同位于福田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val="en-US" w:eastAsia="zh-CN"/>
        </w:rPr>
        <w:t>CBD，距中心校区仅1 km，周边高楼林立，出行便捷，配套齐全。</w:t>
      </w:r>
      <w:r>
        <w:rPr>
          <w:rFonts w:hint="eastAsia" w:ascii="仿宋_GB2312" w:eastAsia="仿宋_GB2312"/>
          <w:color w:val="auto"/>
          <w:sz w:val="32"/>
          <w:szCs w:val="32"/>
          <w:u w:val="none"/>
        </w:rPr>
        <w:t>现有初中48个班（地址：福田区农林路28号）；</w:t>
      </w:r>
    </w:p>
    <w:p>
      <w:pPr>
        <w:spacing w:line="580" w:lineRule="exact"/>
        <w:ind w:left="0" w:leftChars="0" w:firstLine="645"/>
        <w:rPr>
          <w:rFonts w:hint="eastAsia" w:ascii="仿宋_GB2312" w:eastAsia="仿宋_GB2312"/>
          <w:color w:val="auto"/>
          <w:sz w:val="32"/>
          <w:szCs w:val="32"/>
          <w:u w:val="none"/>
        </w:rPr>
      </w:pPr>
    </w:p>
    <w:p>
      <w:pPr>
        <w:spacing w:line="580" w:lineRule="exact"/>
        <w:ind w:firstLine="645"/>
        <w:rPr>
          <w:rFonts w:hint="eastAsia" w:ascii="仿宋_GB2312" w:eastAsia="仿宋_GB2312"/>
          <w:color w:val="auto"/>
          <w:sz w:val="32"/>
          <w:szCs w:val="32"/>
          <w:u w:val="none"/>
        </w:rPr>
      </w:pPr>
      <w:r>
        <w:rPr>
          <w:rFonts w:hint="eastAsia" w:ascii="仿宋_GB2312" w:eastAsia="仿宋_GB2312"/>
          <w:color w:val="auto"/>
          <w:sz w:val="32"/>
          <w:szCs w:val="32"/>
          <w:u w:val="none"/>
        </w:rPr>
        <w:t>北校区，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eastAsia="zh-CN"/>
        </w:rPr>
        <w:t>位于龙华核心区，紧邻高铁深圳北站及城市绿地公园，</w:t>
      </w:r>
      <w:r>
        <w:rPr>
          <w:rFonts w:hint="eastAsia" w:ascii="仿宋_GB2312" w:eastAsia="仿宋_GB2312"/>
          <w:color w:val="auto"/>
          <w:sz w:val="32"/>
          <w:szCs w:val="32"/>
          <w:u w:val="none"/>
        </w:rPr>
        <w:t>现有小学25个班，初中24个班（地址：龙华区民繁南路）；</w:t>
      </w:r>
    </w:p>
    <w:p>
      <w:pPr>
        <w:spacing w:line="580" w:lineRule="exact"/>
        <w:ind w:firstLine="645"/>
        <w:rPr>
          <w:rFonts w:hint="eastAsia" w:ascii="仿宋_GB2312" w:eastAsia="仿宋_GB2312"/>
          <w:color w:val="auto"/>
          <w:sz w:val="32"/>
          <w:szCs w:val="32"/>
          <w:u w:val="none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u w:val="none"/>
        </w:rPr>
        <w:t>东校区，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eastAsia="zh-CN"/>
        </w:rPr>
        <w:t>位于坪山区，比邻</w:t>
      </w:r>
      <w:r>
        <w:rPr>
          <w:rFonts w:hint="eastAsia" w:ascii="仿宋_GB2312" w:eastAsia="仿宋_GB2312"/>
          <w:color w:val="auto"/>
          <w:sz w:val="32"/>
          <w:szCs w:val="32"/>
          <w:u w:val="none"/>
        </w:rPr>
        <w:t>深圳技术大学，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eastAsia="zh-CN"/>
        </w:rPr>
        <w:t>距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val="en-US" w:eastAsia="zh-CN"/>
        </w:rPr>
        <w:t>14号线田头站（在建）仅500米，距南坪快速路三期不到1公里。</w:t>
      </w:r>
      <w:r>
        <w:rPr>
          <w:rFonts w:hint="eastAsia" w:ascii="仿宋_GB2312" w:eastAsia="仿宋_GB2312"/>
          <w:color w:val="auto"/>
          <w:sz w:val="32"/>
          <w:szCs w:val="32"/>
          <w:u w:val="none"/>
        </w:rPr>
        <w:t>现有小学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eastAsia="zh-CN"/>
        </w:rPr>
        <w:t>、</w:t>
      </w:r>
      <w:r>
        <w:rPr>
          <w:rFonts w:hint="eastAsia" w:ascii="仿宋_GB2312" w:eastAsia="仿宋_GB2312"/>
          <w:color w:val="auto"/>
          <w:sz w:val="32"/>
          <w:szCs w:val="32"/>
          <w:u w:val="none"/>
        </w:rPr>
        <w:t>初中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eastAsia="zh-CN"/>
        </w:rPr>
        <w:t>、高中</w:t>
      </w:r>
      <w:r>
        <w:rPr>
          <w:rFonts w:hint="eastAsia" w:ascii="仿宋_GB2312" w:eastAsia="仿宋_GB2312"/>
          <w:color w:val="auto"/>
          <w:sz w:val="32"/>
          <w:szCs w:val="32"/>
          <w:u w:val="none"/>
        </w:rPr>
        <w:t>部，其中小学6个班，初中8个班（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eastAsia="zh-CN"/>
        </w:rPr>
        <w:t>小初部</w:t>
      </w:r>
      <w:r>
        <w:rPr>
          <w:rFonts w:hint="eastAsia" w:ascii="仿宋_GB2312" w:eastAsia="仿宋_GB2312"/>
          <w:color w:val="auto"/>
          <w:sz w:val="32"/>
          <w:szCs w:val="32"/>
          <w:u w:val="none"/>
        </w:rPr>
        <w:t>地址：坪山区金田路）；高中32个班（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eastAsia="zh-CN"/>
        </w:rPr>
        <w:t>高中部</w:t>
      </w:r>
      <w:r>
        <w:rPr>
          <w:rFonts w:hint="eastAsia" w:ascii="仿宋_GB2312" w:eastAsia="仿宋_GB2312"/>
          <w:color w:val="auto"/>
          <w:sz w:val="32"/>
          <w:szCs w:val="32"/>
          <w:u w:val="none"/>
        </w:rPr>
        <w:t>地址：坪山区耘田路1001号）。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eastAsia="zh-CN"/>
        </w:rPr>
        <w:t>小初部、高中部以过街天桥直接联通。</w:t>
      </w:r>
    </w:p>
    <w:p>
      <w:pPr>
        <w:spacing w:line="580" w:lineRule="exact"/>
        <w:ind w:firstLine="645"/>
        <w:rPr>
          <w:rFonts w:hint="eastAsia" w:ascii="仿宋_GB2312" w:eastAsia="仿宋_GB2312"/>
          <w:sz w:val="32"/>
          <w:szCs w:val="32"/>
          <w:u w:val="none"/>
        </w:rPr>
      </w:pP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各校区校园内部</w:t>
      </w:r>
      <w:r>
        <w:rPr>
          <w:rFonts w:hint="eastAsia" w:ascii="仿宋_GB2312" w:eastAsia="仿宋_GB2312"/>
          <w:sz w:val="32"/>
          <w:szCs w:val="32"/>
          <w:u w:val="none"/>
        </w:rPr>
        <w:t>布局合理，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环境优美，标志性</w:t>
      </w:r>
      <w:r>
        <w:rPr>
          <w:rFonts w:hint="eastAsia" w:ascii="仿宋_GB2312" w:eastAsia="仿宋_GB2312"/>
          <w:sz w:val="32"/>
          <w:szCs w:val="32"/>
          <w:u w:val="none"/>
        </w:rPr>
        <w:t>紫红教学楼庄重典雅，被无数学子昵称为“紫色城堡”。</w:t>
      </w:r>
    </w:p>
    <w:p>
      <w:pPr>
        <w:spacing w:line="360" w:lineRule="auto"/>
        <w:ind w:firstLine="560" w:firstLineChars="200"/>
        <w:rPr>
          <w:rFonts w:ascii="楷体" w:hAnsi="楷体" w:eastAsia="楷体"/>
          <w:sz w:val="28"/>
          <w:szCs w:val="28"/>
          <w:u w:val="none"/>
        </w:rPr>
      </w:pPr>
    </w:p>
    <w:p>
      <w:pPr>
        <w:numPr>
          <w:ilvl w:val="0"/>
          <w:numId w:val="1"/>
        </w:numPr>
        <w:spacing w:line="580" w:lineRule="exact"/>
        <w:rPr>
          <w:rFonts w:hint="eastAsia" w:ascii="仿宋_GB2312" w:eastAsia="仿宋_GB2312"/>
          <w:b/>
          <w:bCs/>
          <w:sz w:val="32"/>
          <w:szCs w:val="32"/>
          <w:u w:val="none"/>
          <w:lang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u w:val="none"/>
          <w:lang w:eastAsia="zh-CN"/>
        </w:rPr>
        <w:t>师资培养</w:t>
      </w:r>
    </w:p>
    <w:p>
      <w:pPr>
        <w:spacing w:line="580" w:lineRule="exact"/>
        <w:ind w:firstLine="645"/>
        <w:rPr>
          <w:rFonts w:hint="eastAsia" w:ascii="仿宋_GB2312" w:eastAsia="仿宋_GB2312"/>
          <w:sz w:val="32"/>
          <w:szCs w:val="32"/>
          <w:u w:val="none"/>
          <w:lang w:eastAsia="zh-CN"/>
        </w:rPr>
      </w:pPr>
      <w:r>
        <w:rPr>
          <w:rFonts w:hint="eastAsia" w:ascii="仿宋_GB2312" w:eastAsia="仿宋_GB2312"/>
          <w:sz w:val="32"/>
          <w:szCs w:val="32"/>
          <w:u w:val="none"/>
          <w:lang w:eastAsia="zh-CN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695325</wp:posOffset>
            </wp:positionH>
            <wp:positionV relativeFrom="paragraph">
              <wp:posOffset>1607185</wp:posOffset>
            </wp:positionV>
            <wp:extent cx="4113530" cy="4022725"/>
            <wp:effectExtent l="0" t="0" r="1270" b="15875"/>
            <wp:wrapTopAndBottom/>
            <wp:docPr id="7" name="图片 7" descr="1602747275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602747275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13530" cy="4022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深高集团四大校区是同一所学校的四个校区，实行同一个法人的一体化管理体制。历经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23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年发展，深高集团教师队伍已从60余人壮大到如今近千人，经验丰富、成果卓著。</w:t>
      </w:r>
    </w:p>
    <w:p>
      <w:pPr>
        <w:spacing w:line="580" w:lineRule="exact"/>
        <w:ind w:firstLine="645"/>
        <w:rPr>
          <w:rFonts w:hint="eastAsia" w:ascii="仿宋_GB2312" w:eastAsia="仿宋_GB2312"/>
          <w:sz w:val="32"/>
          <w:szCs w:val="32"/>
          <w:u w:val="none"/>
          <w:lang w:eastAsia="zh-CN"/>
        </w:rPr>
      </w:pPr>
      <w:r>
        <w:rPr>
          <w:rFonts w:hint="eastAsia" w:ascii="仿宋_GB2312" w:eastAsia="仿宋_GB2312"/>
          <w:sz w:val="32"/>
          <w:szCs w:val="32"/>
          <w:u w:val="none"/>
          <w:lang w:eastAsia="zh-CN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1035685</wp:posOffset>
            </wp:positionH>
            <wp:positionV relativeFrom="paragraph">
              <wp:posOffset>-4809490</wp:posOffset>
            </wp:positionV>
            <wp:extent cx="3267710" cy="3667760"/>
            <wp:effectExtent l="0" t="0" r="8890" b="8890"/>
            <wp:wrapTopAndBottom/>
            <wp:docPr id="8" name="图片 8" descr="1602747319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1602747319(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267710" cy="3667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580" w:lineRule="exact"/>
        <w:ind w:firstLine="645"/>
        <w:rPr>
          <w:rFonts w:hint="eastAsia" w:ascii="仿宋_GB2312" w:eastAsia="仿宋_GB2312"/>
          <w:sz w:val="32"/>
          <w:szCs w:val="32"/>
          <w:u w:val="none"/>
          <w:lang w:eastAsia="zh-CN"/>
        </w:rPr>
      </w:pP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深高与北京大学、北京师范大学共筑教师全员培训平台，每年组织教师赴京，在北大接受视野培训、在北师大接受研究性培训；与此同时，专业发展校本培训与海外培训也每年举行，多管齐下，提升教师的教研素养。</w:t>
      </w:r>
    </w:p>
    <w:p>
      <w:pPr>
        <w:spacing w:line="580" w:lineRule="exact"/>
        <w:ind w:firstLine="645"/>
        <w:rPr>
          <w:rFonts w:hint="eastAsia" w:ascii="仿宋_GB2312" w:eastAsia="仿宋_GB2312"/>
          <w:sz w:val="32"/>
          <w:szCs w:val="32"/>
          <w:u w:val="none"/>
          <w:lang w:eastAsia="zh-CN"/>
        </w:rPr>
      </w:pPr>
    </w:p>
    <w:p>
      <w:pPr>
        <w:numPr>
          <w:ilvl w:val="0"/>
          <w:numId w:val="1"/>
        </w:numPr>
        <w:spacing w:line="580" w:lineRule="exact"/>
        <w:ind w:left="0" w:leftChars="0" w:firstLine="0" w:firstLineChars="0"/>
        <w:rPr>
          <w:rFonts w:hint="eastAsia" w:ascii="仿宋_GB2312" w:eastAsia="仿宋_GB2312"/>
          <w:b/>
          <w:bCs/>
          <w:sz w:val="32"/>
          <w:szCs w:val="32"/>
          <w:u w:val="none"/>
        </w:rPr>
      </w:pPr>
      <w:r>
        <w:rPr>
          <w:rFonts w:hint="eastAsia" w:ascii="仿宋_GB2312" w:eastAsia="仿宋_GB2312"/>
          <w:b/>
          <w:bCs/>
          <w:sz w:val="32"/>
          <w:szCs w:val="32"/>
          <w:u w:val="none"/>
        </w:rPr>
        <w:t>办学特色及成绩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u w:val="none"/>
          <w:shd w:val="clear" w:color="auto" w:fill="auto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/>
          <w:shd w:val="clear" w:color="auto" w:fill="auto"/>
          <w:lang w:val="en-US" w:eastAsia="zh-CN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3140075</wp:posOffset>
            </wp:positionH>
            <wp:positionV relativeFrom="paragraph">
              <wp:posOffset>835025</wp:posOffset>
            </wp:positionV>
            <wp:extent cx="2255520" cy="2255520"/>
            <wp:effectExtent l="0" t="0" r="11430" b="11430"/>
            <wp:wrapNone/>
            <wp:docPr id="10" name="图片 10" descr="0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0-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255520" cy="2255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/>
          <w:shd w:val="clear" w:color="auto" w:fill="auto"/>
          <w:lang w:val="en-US" w:eastAsia="zh-CN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-266700</wp:posOffset>
            </wp:positionH>
            <wp:positionV relativeFrom="paragraph">
              <wp:posOffset>699770</wp:posOffset>
            </wp:positionV>
            <wp:extent cx="3218180" cy="2713990"/>
            <wp:effectExtent l="0" t="0" r="1270" b="10160"/>
            <wp:wrapTopAndBottom/>
            <wp:docPr id="9" name="图片 9" descr="1602747391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1602747391(1)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218180" cy="27139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/>
          <w:shd w:val="clear" w:color="auto" w:fill="auto"/>
          <w:lang w:val="en-US" w:eastAsia="zh-CN"/>
        </w:rPr>
        <w:t>深高当前拥有十大特色课程体系。其中，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shd w:val="clear" w:color="auto" w:fill="auto"/>
          <w:lang w:val="en-US" w:eastAsia="zh-CN"/>
        </w:rPr>
        <w:t>GLOBE教育课程（项目）是代表深高集团品牌课程的重点项目、代表深高“未来教育”理念的核心校本必修课程，也是广东省和深圳市重点创新课题项目。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32"/>
          <w:szCs w:val="32"/>
          <w:u w:val="none"/>
          <w:shd w:val="clear" w:color="auto" w:fill="auto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shd w:val="clear" w:color="auto" w:fill="auto"/>
          <w:lang w:val="en-US" w:eastAsia="zh-CN"/>
        </w:rPr>
        <w:t>其他特色课程体系包括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/>
          <w:shd w:val="clear" w:color="auto" w:fill="auto"/>
          <w:lang w:val="en-US" w:eastAsia="zh-CN"/>
        </w:rPr>
        <w:t>：国际教育课程、荣誉特色课程、科技教育课程、艺术教育课程、体育特色课程、生涯规划课程、安全体验课程、心理成长课程、研究型社团课程等。</w:t>
      </w:r>
    </w:p>
    <w:p>
      <w:pPr>
        <w:spacing w:line="360" w:lineRule="auto"/>
        <w:ind w:firstLine="560" w:firstLineChars="200"/>
        <w:rPr>
          <w:rFonts w:ascii="楷体" w:hAnsi="楷体" w:eastAsia="楷体"/>
          <w:color w:val="auto"/>
          <w:sz w:val="28"/>
          <w:szCs w:val="28"/>
          <w:u w:val="none"/>
        </w:rPr>
      </w:pPr>
    </w:p>
    <w:p>
      <w:pPr>
        <w:spacing w:line="580" w:lineRule="exact"/>
        <w:ind w:firstLine="645"/>
        <w:rPr>
          <w:rFonts w:hint="eastAsia" w:ascii="仿宋_GB2312" w:eastAsia="仿宋_GB2312"/>
          <w:b/>
          <w:bCs/>
          <w:color w:val="auto"/>
          <w:sz w:val="32"/>
          <w:szCs w:val="32"/>
          <w:u w:val="none"/>
        </w:rPr>
      </w:pPr>
      <w:r>
        <w:rPr>
          <w:rFonts w:hint="eastAsia" w:ascii="仿宋_GB2312" w:eastAsia="仿宋_GB2312"/>
          <w:b/>
          <w:bCs/>
          <w:color w:val="auto"/>
          <w:sz w:val="32"/>
          <w:szCs w:val="32"/>
          <w:u w:val="none"/>
          <w:lang w:eastAsia="zh-CN"/>
        </w:rPr>
        <w:t>办学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u w:val="none"/>
        </w:rPr>
        <w:t>成绩</w:t>
      </w:r>
    </w:p>
    <w:p>
      <w:pPr>
        <w:spacing w:line="580" w:lineRule="exact"/>
        <w:ind w:firstLine="645"/>
        <w:jc w:val="both"/>
        <w:rPr>
          <w:rFonts w:hint="eastAsia" w:ascii="仿宋_GB2312" w:eastAsia="仿宋_GB2312"/>
          <w:color w:val="auto"/>
          <w:sz w:val="32"/>
          <w:szCs w:val="32"/>
          <w:u w:val="none"/>
        </w:rPr>
      </w:pPr>
      <w:r>
        <w:rPr>
          <w:rFonts w:hint="eastAsia" w:ascii="仿宋_GB2312" w:eastAsia="仿宋_GB2312"/>
          <w:color w:val="auto"/>
          <w:sz w:val="32"/>
          <w:szCs w:val="32"/>
          <w:u w:val="none"/>
        </w:rPr>
        <w:t>建校二十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eastAsia="zh-CN"/>
        </w:rPr>
        <w:t>三</w:t>
      </w:r>
      <w:r>
        <w:rPr>
          <w:rFonts w:hint="eastAsia" w:ascii="仿宋_GB2312" w:eastAsia="仿宋_GB2312"/>
          <w:color w:val="auto"/>
          <w:sz w:val="32"/>
          <w:szCs w:val="32"/>
          <w:u w:val="none"/>
        </w:rPr>
        <w:t>年，深高（集团）教育教学质量连续实现飞跃式提升。2018年高考高分优先投档上线率达到94%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eastAsia="zh-CN"/>
        </w:rPr>
        <w:t>，</w:t>
      </w:r>
      <w:r>
        <w:rPr>
          <w:rFonts w:hint="eastAsia" w:ascii="仿宋_GB2312" w:eastAsia="仿宋_GB2312"/>
          <w:color w:val="auto"/>
          <w:sz w:val="32"/>
          <w:szCs w:val="32"/>
          <w:u w:val="none"/>
        </w:rPr>
        <w:t>2019年中心校区高考总体优投率达95.1%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eastAsia="zh-CN"/>
        </w:rPr>
        <w:t>，</w:t>
      </w:r>
      <w:r>
        <w:rPr>
          <w:rFonts w:hint="eastAsia" w:ascii="仿宋_GB2312" w:eastAsia="仿宋_GB2312"/>
          <w:color w:val="auto"/>
          <w:sz w:val="32"/>
          <w:szCs w:val="32"/>
          <w:u w:val="none"/>
        </w:rPr>
        <w:t>3名考生成绩被屏蔽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eastAsia="zh-CN"/>
        </w:rPr>
        <w:t>；</w:t>
      </w:r>
      <w:r>
        <w:rPr>
          <w:rFonts w:hint="eastAsia" w:ascii="仿宋_GB2312" w:eastAsia="仿宋_GB2312"/>
          <w:color w:val="auto"/>
          <w:sz w:val="32"/>
          <w:szCs w:val="32"/>
          <w:u w:val="none"/>
        </w:rPr>
        <w:t>清华、北大录取9人，港大录取7人。</w:t>
      </w:r>
    </w:p>
    <w:p>
      <w:pPr>
        <w:spacing w:line="580" w:lineRule="exact"/>
        <w:ind w:firstLine="645"/>
        <w:jc w:val="both"/>
        <w:rPr>
          <w:rFonts w:hint="eastAsia" w:ascii="仿宋_GB2312" w:eastAsia="仿宋_GB2312"/>
          <w:color w:val="auto"/>
          <w:sz w:val="32"/>
          <w:szCs w:val="32"/>
          <w:u w:val="none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u w:val="none"/>
          <w:lang w:val="en-US" w:eastAsia="zh-CN"/>
        </w:rPr>
        <w:t>2020年，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u w:val="none"/>
        </w:rPr>
        <w:t>中心校区</w:t>
      </w:r>
      <w:r>
        <w:rPr>
          <w:rFonts w:hint="eastAsia" w:ascii="仿宋_GB2312" w:eastAsia="仿宋_GB2312"/>
          <w:color w:val="auto"/>
          <w:sz w:val="32"/>
          <w:szCs w:val="32"/>
          <w:u w:val="none"/>
        </w:rPr>
        <w:t>高分优投率再创新高，达97.6%；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eastAsia="zh-CN"/>
        </w:rPr>
        <w:t>产生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val="en-US" w:eastAsia="zh-CN"/>
        </w:rPr>
        <w:t>2名屏蔽生</w:t>
      </w:r>
      <w:r>
        <w:rPr>
          <w:rFonts w:hint="eastAsia" w:ascii="仿宋_GB2312" w:eastAsia="仿宋_GB2312"/>
          <w:color w:val="auto"/>
          <w:sz w:val="32"/>
          <w:szCs w:val="32"/>
          <w:u w:val="none"/>
        </w:rPr>
        <w:t>，17名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eastAsia="zh-CN"/>
        </w:rPr>
        <w:t>同学</w:t>
      </w:r>
      <w:r>
        <w:rPr>
          <w:rFonts w:hint="eastAsia" w:ascii="仿宋_GB2312" w:eastAsia="仿宋_GB2312"/>
          <w:color w:val="auto"/>
          <w:sz w:val="32"/>
          <w:szCs w:val="32"/>
          <w:u w:val="none"/>
        </w:rPr>
        <w:t>被清华、北大、港大录取，75%同学达双一流院校录取分数线。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u w:val="none"/>
        </w:rPr>
        <w:t>东校区</w:t>
      </w:r>
      <w:r>
        <w:rPr>
          <w:rFonts w:hint="eastAsia" w:ascii="仿宋_GB2312" w:eastAsia="仿宋_GB2312"/>
          <w:color w:val="auto"/>
          <w:sz w:val="32"/>
          <w:szCs w:val="32"/>
          <w:u w:val="none"/>
        </w:rPr>
        <w:t>在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val="en-US" w:eastAsia="zh-CN"/>
        </w:rPr>
        <w:t>2019</w:t>
      </w:r>
      <w:r>
        <w:rPr>
          <w:rFonts w:hint="eastAsia" w:ascii="仿宋_GB2312" w:eastAsia="仿宋_GB2312"/>
          <w:color w:val="auto"/>
          <w:sz w:val="32"/>
          <w:szCs w:val="32"/>
          <w:u w:val="none"/>
        </w:rPr>
        <w:t>首届高考优投率即达65.03%一战成名基础上再创佳绩，超高分优投线人数高达301人，600分以上44人。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u w:val="none"/>
        </w:rPr>
        <w:t>国际课程体系</w:t>
      </w:r>
      <w:r>
        <w:rPr>
          <w:rFonts w:hint="eastAsia" w:ascii="仿宋_GB2312" w:eastAsia="仿宋_GB2312"/>
          <w:color w:val="auto"/>
          <w:sz w:val="32"/>
          <w:szCs w:val="32"/>
          <w:u w:val="none"/>
        </w:rPr>
        <w:t>100%学生可升入全美前50大学，美国前10和英国牛津剑桥录取都实现新突破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shd w:val="clear" w:color="auto" w:fill="auto"/>
          <w:lang w:val="en-US" w:eastAsia="zh-CN"/>
        </w:rPr>
        <w:t>同时，深高建校23年，竞赛实力已位列全省三甲：共16名学生19人次进入全国数学、物理、化学冬令营，并取得8金5银4铜优异成绩，其中1人获国际奥林匹克数学竞赛金牌。2018年9月，深高（集团）在原系统上全新创立荣誉课程体系，按最高标准建设竞赛专门实验室，配备专业实验员，力求为学生搭建更大更好的学习发展平台。</w:t>
      </w:r>
    </w:p>
    <w:p>
      <w:pPr>
        <w:spacing w:line="580" w:lineRule="exact"/>
        <w:ind w:firstLine="645"/>
        <w:rPr>
          <w:rFonts w:hint="eastAsia" w:ascii="仿宋_GB2312" w:eastAsia="仿宋_GB2312"/>
          <w:color w:val="auto"/>
          <w:sz w:val="32"/>
          <w:szCs w:val="32"/>
          <w:u w:val="none"/>
        </w:rPr>
      </w:pPr>
      <w:r>
        <w:rPr>
          <w:rFonts w:hint="eastAsia" w:ascii="仿宋_GB2312" w:eastAsia="仿宋_GB2312"/>
          <w:color w:val="auto"/>
          <w:sz w:val="32"/>
          <w:szCs w:val="32"/>
          <w:u w:val="none"/>
        </w:rPr>
        <w:t>二十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eastAsia="zh-CN"/>
        </w:rPr>
        <w:t>三</w:t>
      </w:r>
      <w:r>
        <w:rPr>
          <w:rFonts w:hint="eastAsia" w:ascii="仿宋_GB2312" w:eastAsia="仿宋_GB2312"/>
          <w:color w:val="auto"/>
          <w:sz w:val="32"/>
          <w:szCs w:val="32"/>
          <w:u w:val="none"/>
        </w:rPr>
        <w:t>年来，深高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eastAsia="zh-CN"/>
        </w:rPr>
        <w:t>学子</w:t>
      </w:r>
      <w:r>
        <w:rPr>
          <w:rFonts w:hint="eastAsia" w:ascii="仿宋_GB2312" w:eastAsia="仿宋_GB2312"/>
          <w:color w:val="auto"/>
          <w:sz w:val="32"/>
          <w:szCs w:val="32"/>
          <w:u w:val="none"/>
        </w:rPr>
        <w:t>共37人获广东省高考省、市状元，其中4人获广东省高考总分状元，2人获广东省高考深圳市文科总分状元，31人次获广东省高考省市单科状元。至今已有1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val="en-US" w:eastAsia="zh-CN"/>
        </w:rPr>
        <w:t>1</w:t>
      </w:r>
      <w:r>
        <w:rPr>
          <w:rFonts w:hint="eastAsia" w:ascii="仿宋_GB2312" w:eastAsia="仿宋_GB2312"/>
          <w:color w:val="auto"/>
          <w:sz w:val="32"/>
          <w:szCs w:val="32"/>
          <w:u w:val="none"/>
        </w:rPr>
        <w:t>0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eastAsia="zh-CN"/>
        </w:rPr>
        <w:t>余</w:t>
      </w:r>
      <w:r>
        <w:rPr>
          <w:rFonts w:hint="eastAsia" w:ascii="仿宋_GB2312" w:eastAsia="仿宋_GB2312"/>
          <w:color w:val="auto"/>
          <w:sz w:val="32"/>
          <w:szCs w:val="32"/>
          <w:u w:val="none"/>
        </w:rPr>
        <w:t>名深高学子考入清华、北大。</w:t>
      </w:r>
    </w:p>
    <w:p>
      <w:pPr>
        <w:spacing w:line="580" w:lineRule="exact"/>
        <w:rPr>
          <w:rFonts w:hint="eastAsia" w:ascii="仿宋_GB2312" w:eastAsia="仿宋_GB2312"/>
          <w:color w:val="auto"/>
          <w:sz w:val="32"/>
          <w:szCs w:val="32"/>
          <w:u w:val="none"/>
        </w:rPr>
      </w:pPr>
    </w:p>
    <w:p>
      <w:pPr>
        <w:numPr>
          <w:ilvl w:val="0"/>
          <w:numId w:val="0"/>
        </w:numPr>
        <w:spacing w:line="580" w:lineRule="exact"/>
        <w:rPr>
          <w:rFonts w:hint="eastAsia" w:ascii="仿宋_GB2312" w:eastAsia="仿宋_GB2312"/>
          <w:sz w:val="32"/>
          <w:szCs w:val="32"/>
          <w:u w:val="none"/>
        </w:rPr>
      </w:pPr>
      <w:r>
        <w:rPr>
          <w:rFonts w:hint="eastAsia" w:ascii="仿宋_GB2312" w:eastAsia="仿宋_GB2312"/>
          <w:b/>
          <w:bCs/>
          <w:sz w:val="32"/>
          <w:szCs w:val="32"/>
          <w:u w:val="none"/>
          <w:lang w:eastAsia="zh-CN"/>
        </w:rPr>
        <w:t>四、校招岗位及</w:t>
      </w:r>
      <w:r>
        <w:rPr>
          <w:rFonts w:hint="eastAsia" w:ascii="仿宋_GB2312" w:eastAsia="仿宋_GB2312"/>
          <w:b/>
          <w:bCs/>
          <w:sz w:val="32"/>
          <w:szCs w:val="32"/>
          <w:u w:val="none"/>
        </w:rPr>
        <w:t>条件</w:t>
      </w:r>
    </w:p>
    <w:p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</w:rPr>
        <w:t>高中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：</w:t>
      </w:r>
    </w:p>
    <w:tbl>
      <w:tblPr>
        <w:tblStyle w:val="3"/>
        <w:tblW w:w="8316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5"/>
        <w:gridCol w:w="2451"/>
        <w:gridCol w:w="2340"/>
        <w:gridCol w:w="243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  <w:t>校区</w:t>
            </w:r>
          </w:p>
        </w:tc>
        <w:tc>
          <w:tcPr>
            <w:tcW w:w="24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  <w:t>中心校区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  <w:t>高中</w:t>
            </w:r>
          </w:p>
        </w:tc>
        <w:tc>
          <w:tcPr>
            <w:tcW w:w="2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  <w:t>东校区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  <w:t>高中</w:t>
            </w:r>
          </w:p>
        </w:tc>
        <w:tc>
          <w:tcPr>
            <w:tcW w:w="24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  <w:t>合计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  <w:t>语文</w:t>
            </w:r>
          </w:p>
        </w:tc>
        <w:tc>
          <w:tcPr>
            <w:tcW w:w="2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  <w:t>1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  <w:t>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  <w:t>数学</w:t>
            </w:r>
          </w:p>
        </w:tc>
        <w:tc>
          <w:tcPr>
            <w:tcW w:w="2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  <w:t>2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  <w:t>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  <w:t>英语</w:t>
            </w:r>
          </w:p>
        </w:tc>
        <w:tc>
          <w:tcPr>
            <w:tcW w:w="2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  <w:t>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  <w:t>物理</w:t>
            </w:r>
          </w:p>
        </w:tc>
        <w:tc>
          <w:tcPr>
            <w:tcW w:w="2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  <w:t>2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  <w:t>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  <w:t>化学</w:t>
            </w:r>
          </w:p>
        </w:tc>
        <w:tc>
          <w:tcPr>
            <w:tcW w:w="2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  <w:t>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  <w:t>生物</w:t>
            </w:r>
          </w:p>
        </w:tc>
        <w:tc>
          <w:tcPr>
            <w:tcW w:w="2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  <w:t>2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  <w:t>政治</w:t>
            </w:r>
          </w:p>
        </w:tc>
        <w:tc>
          <w:tcPr>
            <w:tcW w:w="2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  <w:t>2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  <w:t>历史</w:t>
            </w:r>
          </w:p>
        </w:tc>
        <w:tc>
          <w:tcPr>
            <w:tcW w:w="2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  <w:t>1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  <w:t>地理</w:t>
            </w:r>
          </w:p>
        </w:tc>
        <w:tc>
          <w:tcPr>
            <w:tcW w:w="2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  <w:t>1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  <w:t>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  <w:t>体育</w:t>
            </w:r>
          </w:p>
        </w:tc>
        <w:tc>
          <w:tcPr>
            <w:tcW w:w="2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  <w:t>1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  <w:t>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  <w:t>合计</w:t>
            </w:r>
          </w:p>
        </w:tc>
        <w:tc>
          <w:tcPr>
            <w:tcW w:w="2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  <w:t>12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  <w:t>10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  <w:t>22</w:t>
            </w:r>
          </w:p>
        </w:tc>
      </w:tr>
    </w:tbl>
    <w:p>
      <w:pPr>
        <w:spacing w:line="360" w:lineRule="auto"/>
        <w:rPr>
          <w:rFonts w:ascii="楷体" w:hAnsi="楷体" w:eastAsia="楷体"/>
          <w:sz w:val="28"/>
          <w:szCs w:val="28"/>
          <w:u w:val="none"/>
        </w:rPr>
      </w:pPr>
    </w:p>
    <w:p>
      <w:pPr>
        <w:spacing w:line="360" w:lineRule="auto"/>
        <w:ind w:firstLine="640" w:firstLineChars="200"/>
        <w:rPr>
          <w:rFonts w:ascii="楷体" w:hAnsi="楷体" w:eastAsia="楷体"/>
          <w:sz w:val="28"/>
          <w:szCs w:val="28"/>
          <w:u w:val="none"/>
        </w:rPr>
      </w:pPr>
      <w:r>
        <w:rPr>
          <w:rFonts w:hint="eastAsia" w:ascii="仿宋" w:hAnsi="仿宋" w:eastAsia="仿宋" w:cs="仿宋"/>
          <w:sz w:val="32"/>
          <w:szCs w:val="32"/>
          <w:u w:val="none"/>
        </w:rPr>
        <w:t>初中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：</w:t>
      </w:r>
    </w:p>
    <w:tbl>
      <w:tblPr>
        <w:tblStyle w:val="3"/>
        <w:tblpPr w:leftFromText="180" w:rightFromText="180" w:vertAnchor="text" w:horzAnchor="page" w:tblpX="1920" w:tblpY="605"/>
        <w:tblOverlap w:val="never"/>
        <w:tblW w:w="829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1"/>
        <w:gridCol w:w="1666"/>
        <w:gridCol w:w="1830"/>
        <w:gridCol w:w="2006"/>
        <w:gridCol w:w="152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  <w:t>校区</w:t>
            </w:r>
          </w:p>
        </w:tc>
        <w:tc>
          <w:tcPr>
            <w:tcW w:w="1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  <w:t>南校区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lang w:eastAsia="zh-CN"/>
              </w:rPr>
              <w:t>初中</w:t>
            </w:r>
          </w:p>
        </w:tc>
        <w:tc>
          <w:tcPr>
            <w:tcW w:w="18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  <w:t>北校区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  <w:t>初中</w:t>
            </w:r>
          </w:p>
        </w:tc>
        <w:tc>
          <w:tcPr>
            <w:tcW w:w="20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  <w:t>东校区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  <w:t>初中</w:t>
            </w:r>
          </w:p>
        </w:tc>
        <w:tc>
          <w:tcPr>
            <w:tcW w:w="15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  <w:t>合计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  <w:t>语文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</w:p>
        </w:tc>
        <w:tc>
          <w:tcPr>
            <w:tcW w:w="2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  <w:t>2</w:t>
            </w:r>
          </w:p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  <w:t>数学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  <w:t>1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</w:p>
        </w:tc>
        <w:tc>
          <w:tcPr>
            <w:tcW w:w="2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  <w:t>2</w:t>
            </w:r>
          </w:p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  <w:t>英语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</w:p>
        </w:tc>
        <w:tc>
          <w:tcPr>
            <w:tcW w:w="2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  <w:t>2</w:t>
            </w:r>
          </w:p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  <w:t>物理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  <w:t>1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</w:p>
        </w:tc>
        <w:tc>
          <w:tcPr>
            <w:tcW w:w="2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lang w:eastAsia="zh-CN"/>
              </w:rPr>
              <w:t>化学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</w:p>
        </w:tc>
        <w:tc>
          <w:tcPr>
            <w:tcW w:w="2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  <w:t>1</w:t>
            </w:r>
          </w:p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  <w:t>政治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  <w:t>1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</w:p>
        </w:tc>
        <w:tc>
          <w:tcPr>
            <w:tcW w:w="2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  <w:t>1</w:t>
            </w:r>
          </w:p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  <w:t>历史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</w:p>
        </w:tc>
        <w:tc>
          <w:tcPr>
            <w:tcW w:w="2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  <w:t>1</w:t>
            </w:r>
          </w:p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lang w:eastAsia="zh-CN"/>
              </w:rPr>
              <w:t>信息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</w:p>
        </w:tc>
        <w:tc>
          <w:tcPr>
            <w:tcW w:w="2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  <w:t>1</w:t>
            </w:r>
          </w:p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lang w:eastAsia="zh-CN"/>
              </w:rPr>
              <w:t>音乐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</w:p>
        </w:tc>
        <w:tc>
          <w:tcPr>
            <w:tcW w:w="2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  <w:t>1</w:t>
            </w:r>
          </w:p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  <w:t>体育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</w:p>
        </w:tc>
        <w:tc>
          <w:tcPr>
            <w:tcW w:w="2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  <w:t>1</w:t>
            </w:r>
          </w:p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lang w:eastAsia="zh-CN"/>
              </w:rPr>
              <w:t>美术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</w:p>
        </w:tc>
        <w:tc>
          <w:tcPr>
            <w:tcW w:w="2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  <w:t>1</w:t>
            </w:r>
          </w:p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  <w:t>合计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  <w:t>3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  <w:t>0</w:t>
            </w:r>
          </w:p>
        </w:tc>
        <w:tc>
          <w:tcPr>
            <w:tcW w:w="2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  <w:t>13</w:t>
            </w:r>
          </w:p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  <w:t>16</w:t>
            </w:r>
          </w:p>
        </w:tc>
      </w:tr>
    </w:tbl>
    <w:p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  <w:u w:val="none"/>
        </w:rPr>
      </w:pPr>
    </w:p>
    <w:p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</w:rPr>
        <w:t>小学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：</w:t>
      </w:r>
    </w:p>
    <w:tbl>
      <w:tblPr>
        <w:tblStyle w:val="3"/>
        <w:tblW w:w="8316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1"/>
        <w:gridCol w:w="2190"/>
        <w:gridCol w:w="2055"/>
        <w:gridCol w:w="192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  <w:t>校区</w:t>
            </w:r>
          </w:p>
        </w:tc>
        <w:tc>
          <w:tcPr>
            <w:tcW w:w="21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  <w:t>北校区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  <w:t>小学</w:t>
            </w:r>
          </w:p>
        </w:tc>
        <w:tc>
          <w:tcPr>
            <w:tcW w:w="2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  <w:t>东校区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  <w:t>小学</w:t>
            </w: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  <w:t>合计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1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  <w:t>语文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  <w:t>1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  <w:t>2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1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  <w:t>数学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  <w:t>2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1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  <w:t>英语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  <w:t>2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  <w:t>2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1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  <w:t>体育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</w:p>
        </w:tc>
        <w:tc>
          <w:tcPr>
            <w:tcW w:w="20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1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  <w:t>音乐</w:t>
            </w: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lang w:eastAsia="zh-CN"/>
              </w:rPr>
              <w:t>舞蹈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</w:p>
        </w:tc>
        <w:tc>
          <w:tcPr>
            <w:tcW w:w="20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1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</w:rPr>
              <w:t>合计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  <w:t>5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  <w:t>7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  <w:t>12</w:t>
            </w:r>
          </w:p>
        </w:tc>
      </w:tr>
    </w:tbl>
    <w:p>
      <w:pPr>
        <w:spacing w:line="580" w:lineRule="exact"/>
        <w:ind w:firstLine="645"/>
        <w:rPr>
          <w:rFonts w:hint="eastAsia" w:ascii="仿宋_GB2312" w:eastAsia="仿宋_GB2312"/>
          <w:sz w:val="32"/>
          <w:szCs w:val="32"/>
          <w:u w:val="none"/>
        </w:rPr>
      </w:pPr>
    </w:p>
    <w:p>
      <w:pPr>
        <w:spacing w:line="580" w:lineRule="exact"/>
        <w:ind w:firstLine="645"/>
        <w:rPr>
          <w:rFonts w:hint="eastAsia" w:ascii="仿宋_GB2312" w:eastAsia="仿宋_GB2312"/>
          <w:sz w:val="32"/>
          <w:szCs w:val="32"/>
          <w:u w:val="none"/>
          <w:lang w:eastAsia="zh-CN"/>
        </w:rPr>
      </w:pPr>
      <w:r>
        <w:rPr>
          <w:rFonts w:hint="eastAsia" w:ascii="仿宋_GB2312" w:eastAsia="仿宋_GB2312"/>
          <w:sz w:val="32"/>
          <w:szCs w:val="32"/>
          <w:u w:val="none"/>
        </w:rPr>
        <w:t>全日制普通高等院校（985大学毕业生优先）本科及以上学历的202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  <w:u w:val="none"/>
        </w:rPr>
        <w:t>年应届毕业生（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仅含</w:t>
      </w:r>
      <w:r>
        <w:rPr>
          <w:rFonts w:hint="eastAsia" w:ascii="仿宋_GB2312" w:eastAsia="仿宋_GB2312"/>
          <w:sz w:val="32"/>
          <w:szCs w:val="32"/>
          <w:u w:val="none"/>
        </w:rPr>
        <w:t>202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  <w:u w:val="none"/>
        </w:rPr>
        <w:t>年8月31日前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能</w:t>
      </w:r>
      <w:r>
        <w:rPr>
          <w:rFonts w:hint="eastAsia" w:ascii="仿宋_GB2312" w:eastAsia="仿宋_GB2312"/>
          <w:sz w:val="32"/>
          <w:szCs w:val="32"/>
          <w:u w:val="none"/>
        </w:rPr>
        <w:t>取得相应毕业证书、学位证书的全日制普通高等院校毕业生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；</w:t>
      </w:r>
      <w:r>
        <w:rPr>
          <w:rFonts w:hint="eastAsia" w:ascii="仿宋_GB2312" w:eastAsia="仿宋_GB2312"/>
          <w:sz w:val="32"/>
          <w:szCs w:val="32"/>
          <w:u w:val="none"/>
        </w:rPr>
        <w:t>不含20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  <w:u w:val="none"/>
        </w:rPr>
        <w:t>及之前毕业的暂缓就业毕业生），凡符合下列招聘条件的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  <w:u w:val="none"/>
        </w:rPr>
        <w:t>均可报名应聘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：</w:t>
      </w:r>
    </w:p>
    <w:p>
      <w:pPr>
        <w:spacing w:line="580" w:lineRule="exact"/>
        <w:ind w:firstLine="645"/>
        <w:rPr>
          <w:rFonts w:hint="eastAsia" w:ascii="仿宋_GB2312" w:eastAsia="仿宋_GB2312"/>
          <w:sz w:val="32"/>
          <w:szCs w:val="32"/>
          <w:u w:val="none"/>
          <w:lang w:eastAsia="zh-CN"/>
        </w:rPr>
      </w:pPr>
      <w:r>
        <w:rPr>
          <w:rFonts w:hint="eastAsia" w:ascii="仿宋_GB2312" w:eastAsia="仿宋_GB2312"/>
          <w:sz w:val="32"/>
          <w:szCs w:val="32"/>
          <w:u w:val="none"/>
          <w:lang w:eastAsia="zh-CN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552450</wp:posOffset>
            </wp:positionH>
            <wp:positionV relativeFrom="paragraph">
              <wp:posOffset>635</wp:posOffset>
            </wp:positionV>
            <wp:extent cx="4147820" cy="4107815"/>
            <wp:effectExtent l="0" t="0" r="5080" b="6985"/>
            <wp:wrapNone/>
            <wp:docPr id="11" name="图片 11" descr="1602750091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1602750091(1)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147820" cy="41078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580" w:lineRule="exact"/>
        <w:ind w:firstLine="645"/>
        <w:rPr>
          <w:rFonts w:hint="eastAsia" w:ascii="仿宋_GB2312" w:eastAsia="仿宋_GB2312"/>
          <w:sz w:val="32"/>
          <w:szCs w:val="32"/>
          <w:u w:val="none"/>
        </w:rPr>
      </w:pPr>
    </w:p>
    <w:p>
      <w:pPr>
        <w:spacing w:line="580" w:lineRule="exact"/>
        <w:ind w:firstLine="645"/>
        <w:rPr>
          <w:rFonts w:hint="eastAsia" w:ascii="仿宋_GB2312" w:eastAsia="仿宋_GB2312"/>
          <w:sz w:val="32"/>
          <w:szCs w:val="32"/>
          <w:u w:val="none"/>
        </w:rPr>
      </w:pPr>
    </w:p>
    <w:p>
      <w:pPr>
        <w:spacing w:line="580" w:lineRule="exact"/>
        <w:ind w:firstLine="645"/>
        <w:rPr>
          <w:rFonts w:hint="eastAsia" w:ascii="仿宋_GB2312" w:eastAsia="仿宋_GB2312"/>
          <w:sz w:val="32"/>
          <w:szCs w:val="32"/>
          <w:u w:val="none"/>
        </w:rPr>
      </w:pPr>
    </w:p>
    <w:p>
      <w:pPr>
        <w:spacing w:line="580" w:lineRule="exact"/>
        <w:ind w:firstLine="645"/>
        <w:rPr>
          <w:rFonts w:hint="eastAsia" w:ascii="仿宋_GB2312" w:eastAsia="仿宋_GB2312"/>
          <w:sz w:val="32"/>
          <w:szCs w:val="32"/>
          <w:u w:val="none"/>
        </w:rPr>
      </w:pPr>
    </w:p>
    <w:p>
      <w:pPr>
        <w:spacing w:line="580" w:lineRule="exact"/>
        <w:ind w:firstLine="645"/>
        <w:rPr>
          <w:rFonts w:hint="eastAsia" w:ascii="仿宋_GB2312" w:eastAsia="仿宋_GB2312"/>
          <w:sz w:val="32"/>
          <w:szCs w:val="32"/>
          <w:u w:val="none"/>
        </w:rPr>
      </w:pPr>
    </w:p>
    <w:p>
      <w:pPr>
        <w:spacing w:line="580" w:lineRule="exact"/>
        <w:ind w:firstLine="645"/>
        <w:rPr>
          <w:rFonts w:hint="eastAsia" w:ascii="仿宋_GB2312" w:eastAsia="仿宋_GB2312"/>
          <w:sz w:val="32"/>
          <w:szCs w:val="32"/>
          <w:u w:val="none"/>
        </w:rPr>
      </w:pPr>
    </w:p>
    <w:p>
      <w:pPr>
        <w:spacing w:line="580" w:lineRule="exact"/>
        <w:ind w:firstLine="645"/>
        <w:rPr>
          <w:rFonts w:hint="eastAsia" w:ascii="仿宋_GB2312" w:eastAsia="仿宋_GB2312"/>
          <w:sz w:val="32"/>
          <w:szCs w:val="32"/>
          <w:u w:val="none"/>
        </w:rPr>
      </w:pPr>
    </w:p>
    <w:p>
      <w:pPr>
        <w:spacing w:line="580" w:lineRule="exact"/>
        <w:ind w:firstLine="645"/>
        <w:rPr>
          <w:rFonts w:hint="eastAsia" w:ascii="仿宋_GB2312" w:eastAsia="仿宋_GB2312"/>
          <w:sz w:val="32"/>
          <w:szCs w:val="32"/>
          <w:u w:val="none"/>
        </w:rPr>
      </w:pPr>
    </w:p>
    <w:p>
      <w:pPr>
        <w:spacing w:line="580" w:lineRule="exact"/>
        <w:rPr>
          <w:rFonts w:hint="eastAsia" w:ascii="仿宋_GB2312" w:eastAsia="仿宋_GB2312"/>
          <w:sz w:val="32"/>
          <w:szCs w:val="32"/>
          <w:u w:val="none"/>
        </w:rPr>
      </w:pPr>
    </w:p>
    <w:p>
      <w:pPr>
        <w:spacing w:line="580" w:lineRule="exact"/>
        <w:rPr>
          <w:rFonts w:hint="eastAsia" w:ascii="仿宋_GB2312" w:eastAsia="仿宋_GB2312"/>
          <w:sz w:val="32"/>
          <w:szCs w:val="32"/>
          <w:u w:val="none"/>
        </w:rPr>
      </w:pPr>
    </w:p>
    <w:p>
      <w:pPr>
        <w:spacing w:line="580" w:lineRule="exact"/>
        <w:ind w:left="0" w:leftChars="0" w:firstLine="645"/>
        <w:rPr>
          <w:rFonts w:hint="eastAsia" w:ascii="仿宋_GB2312" w:eastAsia="仿宋_GB2312"/>
          <w:b/>
          <w:bCs/>
          <w:sz w:val="32"/>
          <w:szCs w:val="32"/>
          <w:u w:val="none"/>
        </w:rPr>
      </w:pPr>
      <w:r>
        <w:rPr>
          <w:rFonts w:hint="eastAsia" w:ascii="仿宋_GB2312" w:eastAsia="仿宋_GB2312"/>
          <w:b/>
          <w:bCs/>
          <w:sz w:val="32"/>
          <w:szCs w:val="32"/>
          <w:u w:val="none"/>
          <w:lang w:eastAsia="zh-CN"/>
        </w:rPr>
        <w:t>五</w:t>
      </w:r>
      <w:r>
        <w:rPr>
          <w:rFonts w:hint="eastAsia" w:ascii="仿宋_GB2312" w:eastAsia="仿宋_GB2312"/>
          <w:b/>
          <w:bCs/>
          <w:sz w:val="32"/>
          <w:szCs w:val="32"/>
          <w:u w:val="none"/>
        </w:rPr>
        <w:t>、待遇</w:t>
      </w:r>
    </w:p>
    <w:p>
      <w:pPr>
        <w:spacing w:line="580" w:lineRule="exact"/>
        <w:ind w:firstLine="645"/>
        <w:rPr>
          <w:rFonts w:hint="eastAsia" w:ascii="仿宋_GB2312" w:eastAsia="仿宋_GB2312"/>
          <w:sz w:val="32"/>
          <w:szCs w:val="32"/>
          <w:u w:val="none"/>
          <w:lang w:eastAsia="zh-CN"/>
        </w:rPr>
      </w:pPr>
      <w:r>
        <w:rPr>
          <w:rFonts w:hint="eastAsia" w:ascii="仿宋_GB2312" w:eastAsia="仿宋_GB2312"/>
          <w:sz w:val="32"/>
          <w:szCs w:val="32"/>
          <w:u w:val="none"/>
          <w:lang w:eastAsia="zh-CN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352425</wp:posOffset>
            </wp:positionH>
            <wp:positionV relativeFrom="paragraph">
              <wp:posOffset>207010</wp:posOffset>
            </wp:positionV>
            <wp:extent cx="4806315" cy="3023235"/>
            <wp:effectExtent l="0" t="0" r="13335" b="5715"/>
            <wp:wrapNone/>
            <wp:docPr id="12" name="图片 12" descr="1602750175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1602750175(1)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06315" cy="30232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580" w:lineRule="exact"/>
        <w:ind w:firstLine="645"/>
        <w:rPr>
          <w:rFonts w:hint="eastAsia" w:ascii="仿宋_GB2312" w:eastAsia="仿宋_GB2312"/>
          <w:sz w:val="32"/>
          <w:szCs w:val="32"/>
          <w:u w:val="none"/>
        </w:rPr>
      </w:pPr>
    </w:p>
    <w:p>
      <w:pPr>
        <w:spacing w:line="580" w:lineRule="exact"/>
        <w:ind w:firstLine="645"/>
        <w:rPr>
          <w:rFonts w:hint="eastAsia" w:ascii="仿宋_GB2312" w:eastAsia="仿宋_GB2312"/>
          <w:sz w:val="32"/>
          <w:szCs w:val="32"/>
          <w:u w:val="none"/>
        </w:rPr>
      </w:pPr>
    </w:p>
    <w:p>
      <w:pPr>
        <w:spacing w:line="580" w:lineRule="exact"/>
        <w:ind w:firstLine="645"/>
        <w:rPr>
          <w:rFonts w:hint="eastAsia" w:ascii="仿宋_GB2312" w:eastAsia="仿宋_GB2312"/>
          <w:sz w:val="32"/>
          <w:szCs w:val="32"/>
          <w:u w:val="none"/>
        </w:rPr>
      </w:pPr>
    </w:p>
    <w:p>
      <w:pPr>
        <w:spacing w:line="580" w:lineRule="exact"/>
        <w:ind w:firstLine="645"/>
        <w:rPr>
          <w:rFonts w:hint="eastAsia" w:ascii="仿宋_GB2312" w:eastAsia="仿宋_GB2312"/>
          <w:sz w:val="32"/>
          <w:szCs w:val="32"/>
          <w:u w:val="none"/>
        </w:rPr>
      </w:pPr>
    </w:p>
    <w:p>
      <w:pPr>
        <w:spacing w:line="580" w:lineRule="exact"/>
        <w:ind w:firstLine="645"/>
        <w:rPr>
          <w:rFonts w:hint="eastAsia" w:ascii="仿宋_GB2312" w:eastAsia="仿宋_GB2312"/>
          <w:sz w:val="32"/>
          <w:szCs w:val="32"/>
          <w:u w:val="none"/>
        </w:rPr>
      </w:pPr>
    </w:p>
    <w:p>
      <w:pPr>
        <w:spacing w:line="580" w:lineRule="exact"/>
        <w:ind w:firstLine="645"/>
        <w:rPr>
          <w:rFonts w:hint="eastAsia" w:ascii="仿宋_GB2312" w:eastAsia="仿宋_GB2312"/>
          <w:sz w:val="32"/>
          <w:szCs w:val="32"/>
          <w:u w:val="none"/>
        </w:rPr>
      </w:pPr>
    </w:p>
    <w:p>
      <w:pPr>
        <w:spacing w:line="580" w:lineRule="exact"/>
        <w:ind w:firstLine="645"/>
        <w:rPr>
          <w:rFonts w:hint="eastAsia" w:ascii="仿宋_GB2312" w:eastAsia="仿宋_GB2312"/>
          <w:sz w:val="32"/>
          <w:szCs w:val="32"/>
          <w:u w:val="none"/>
        </w:rPr>
      </w:pPr>
    </w:p>
    <w:p>
      <w:pPr>
        <w:spacing w:line="580" w:lineRule="exact"/>
        <w:rPr>
          <w:rFonts w:hint="eastAsia" w:ascii="仿宋_GB2312" w:eastAsia="仿宋_GB2312"/>
          <w:sz w:val="32"/>
          <w:szCs w:val="32"/>
          <w:u w:val="none"/>
        </w:rPr>
      </w:pPr>
    </w:p>
    <w:p>
      <w:pPr>
        <w:spacing w:line="580" w:lineRule="exact"/>
        <w:ind w:left="210" w:leftChars="0" w:firstLine="645"/>
        <w:rPr>
          <w:rFonts w:hint="eastAsia" w:ascii="仿宋_GB2312" w:eastAsia="仿宋_GB2312"/>
          <w:b/>
          <w:bCs/>
          <w:sz w:val="32"/>
          <w:szCs w:val="32"/>
          <w:u w:val="none"/>
        </w:rPr>
      </w:pPr>
      <w:r>
        <w:rPr>
          <w:rFonts w:hint="eastAsia" w:ascii="仿宋_GB2312" w:eastAsia="仿宋_GB2312"/>
          <w:b/>
          <w:bCs/>
          <w:sz w:val="32"/>
          <w:szCs w:val="32"/>
          <w:u w:val="none"/>
          <w:lang w:eastAsia="zh-CN"/>
        </w:rPr>
        <w:t>六</w:t>
      </w:r>
      <w:r>
        <w:rPr>
          <w:rFonts w:hint="eastAsia" w:ascii="仿宋_GB2312" w:eastAsia="仿宋_GB2312"/>
          <w:b/>
          <w:bCs/>
          <w:sz w:val="32"/>
          <w:szCs w:val="32"/>
          <w:u w:val="none"/>
        </w:rPr>
        <w:t>、报名要求和联系方式</w:t>
      </w:r>
    </w:p>
    <w:p>
      <w:pPr>
        <w:numPr>
          <w:ilvl w:val="0"/>
          <w:numId w:val="2"/>
        </w:numPr>
        <w:spacing w:line="580" w:lineRule="exact"/>
        <w:ind w:left="845" w:leftChars="0" w:hanging="425" w:firstLineChars="0"/>
        <w:rPr>
          <w:rFonts w:hint="eastAsia" w:ascii="仿宋_GB2312" w:eastAsia="仿宋_GB2312"/>
          <w:sz w:val="32"/>
          <w:szCs w:val="32"/>
          <w:u w:val="none"/>
        </w:rPr>
      </w:pPr>
      <w:r>
        <w:rPr>
          <w:rFonts w:hint="eastAsia" w:ascii="仿宋_GB2312" w:eastAsia="仿宋_GB2312"/>
          <w:sz w:val="32"/>
          <w:szCs w:val="32"/>
          <w:u w:val="none"/>
        </w:rPr>
        <w:t>有意应聘者，请于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10</w:t>
      </w:r>
      <w:r>
        <w:rPr>
          <w:rFonts w:hint="eastAsia" w:ascii="仿宋_GB2312" w:eastAsia="仿宋_GB2312"/>
          <w:sz w:val="32"/>
          <w:szCs w:val="32"/>
          <w:u w:val="none"/>
        </w:rPr>
        <w:t>月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28</w:t>
      </w:r>
      <w:r>
        <w:rPr>
          <w:rFonts w:hint="eastAsia" w:ascii="仿宋_GB2312" w:eastAsia="仿宋_GB2312"/>
          <w:sz w:val="32"/>
          <w:szCs w:val="32"/>
          <w:u w:val="none"/>
        </w:rPr>
        <w:t>日（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周三</w:t>
      </w:r>
      <w:r>
        <w:rPr>
          <w:rFonts w:hint="eastAsia" w:ascii="仿宋_GB2312" w:eastAsia="仿宋_GB2312"/>
          <w:sz w:val="32"/>
          <w:szCs w:val="32"/>
          <w:u w:val="none"/>
        </w:rPr>
        <w:t>）上午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9:0</w:t>
      </w:r>
      <w:r>
        <w:rPr>
          <w:rFonts w:hint="eastAsia" w:ascii="仿宋_GB2312" w:eastAsia="仿宋_GB2312"/>
          <w:sz w:val="32"/>
          <w:szCs w:val="32"/>
          <w:u w:val="none"/>
        </w:rPr>
        <w:t>0至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11</w:t>
      </w:r>
      <w:r>
        <w:rPr>
          <w:rFonts w:hint="eastAsia" w:ascii="仿宋_GB2312" w:eastAsia="仿宋_GB2312"/>
          <w:sz w:val="32"/>
          <w:szCs w:val="32"/>
          <w:u w:val="none"/>
        </w:rPr>
        <w:t>：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  <w:u w:val="none"/>
        </w:rPr>
        <w:t>0，将《深圳高级中学（集团）招聘报名表》（见附件）、《毕业生推荐表》原件、身份证复印件、本科四年及硕士期间成绩单（红章原件）、教师资格证复印件、学历学位证书复印件，交深圳高级中学（集团）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北京</w:t>
      </w:r>
      <w:r>
        <w:rPr>
          <w:rFonts w:hint="eastAsia" w:ascii="仿宋_GB2312" w:eastAsia="仿宋_GB2312"/>
          <w:sz w:val="32"/>
          <w:szCs w:val="32"/>
          <w:u w:val="none"/>
        </w:rPr>
        <w:t>师范大学招聘点（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北京</w:t>
      </w:r>
      <w:r>
        <w:rPr>
          <w:rFonts w:hint="eastAsia" w:ascii="仿宋_GB2312" w:eastAsia="仿宋_GB2312"/>
          <w:sz w:val="32"/>
          <w:szCs w:val="32"/>
          <w:u w:val="none"/>
        </w:rPr>
        <w:t>师范大学招聘点设在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教九楼502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  <w:u w:val="none"/>
        </w:rPr>
        <w:t>）。</w:t>
      </w:r>
    </w:p>
    <w:p>
      <w:pPr>
        <w:numPr>
          <w:ilvl w:val="0"/>
          <w:numId w:val="2"/>
        </w:numPr>
        <w:spacing w:line="580" w:lineRule="exact"/>
        <w:ind w:left="845" w:leftChars="0" w:hanging="425" w:firstLineChars="0"/>
        <w:rPr>
          <w:rFonts w:hint="eastAsia" w:ascii="仿宋_GB2312" w:eastAsia="仿宋_GB2312"/>
          <w:sz w:val="32"/>
          <w:szCs w:val="32"/>
          <w:u w:val="none"/>
        </w:rPr>
      </w:pP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招聘以现场报名为准。已在网上预报名的考生，仍需前来招聘点正式报名，并参与各招聘环节；未在网上预报名的考生，可直接前来现场报名。</w:t>
      </w:r>
    </w:p>
    <w:p>
      <w:pPr>
        <w:numPr>
          <w:ilvl w:val="0"/>
          <w:numId w:val="2"/>
        </w:numPr>
        <w:spacing w:line="580" w:lineRule="exact"/>
        <w:ind w:left="845" w:leftChars="0" w:hanging="425" w:firstLineChars="0"/>
        <w:rPr>
          <w:rFonts w:hint="eastAsia" w:ascii="仿宋_GB2312" w:eastAsia="仿宋_GB2312"/>
          <w:sz w:val="32"/>
          <w:szCs w:val="32"/>
          <w:u w:val="none"/>
        </w:rPr>
      </w:pPr>
      <w:r>
        <w:rPr>
          <w:rFonts w:hint="eastAsia" w:ascii="仿宋_GB2312" w:eastAsia="仿宋_GB2312"/>
          <w:sz w:val="32"/>
          <w:szCs w:val="32"/>
          <w:u w:val="none"/>
        </w:rPr>
        <w:t>招聘现场设宣讲、初选、笔试和面试环节，应聘考核合格者与学校当场签订意向书，交齐上述材料；未通过应聘考核者学校收应聘材料复印件，退回应聘材料原件。</w:t>
      </w:r>
    </w:p>
    <w:p>
      <w:pPr>
        <w:numPr>
          <w:ilvl w:val="0"/>
          <w:numId w:val="2"/>
        </w:numPr>
        <w:spacing w:line="580" w:lineRule="exact"/>
        <w:ind w:left="845" w:leftChars="0" w:hanging="425" w:firstLineChars="0"/>
        <w:rPr>
          <w:rFonts w:hint="eastAsia" w:ascii="仿宋_GB2312" w:eastAsia="仿宋_GB2312"/>
          <w:sz w:val="32"/>
          <w:szCs w:val="32"/>
          <w:u w:val="none"/>
        </w:rPr>
      </w:pPr>
      <w:r>
        <w:rPr>
          <w:rFonts w:hint="eastAsia" w:ascii="仿宋_GB2312" w:eastAsia="仿宋_GB2312"/>
          <w:sz w:val="32"/>
          <w:szCs w:val="32"/>
          <w:u w:val="none"/>
        </w:rPr>
        <w:t>具体考核程序：听招聘现场宣讲会安排。</w:t>
      </w:r>
    </w:p>
    <w:p>
      <w:pPr>
        <w:spacing w:line="580" w:lineRule="exact"/>
        <w:ind w:leftChars="400"/>
        <w:rPr>
          <w:rFonts w:hint="eastAsia" w:ascii="仿宋_GB2312" w:eastAsia="仿宋_GB2312"/>
          <w:sz w:val="32"/>
          <w:szCs w:val="32"/>
          <w:u w:val="none"/>
        </w:rPr>
      </w:pPr>
      <w:r>
        <w:rPr>
          <w:rFonts w:hint="eastAsia" w:ascii="仿宋_GB2312" w:eastAsia="仿宋_GB2312"/>
          <w:sz w:val="32"/>
          <w:szCs w:val="32"/>
          <w:u w:val="none"/>
        </w:rPr>
        <w:t>报名地址：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北京</w:t>
      </w:r>
      <w:r>
        <w:rPr>
          <w:rFonts w:hint="eastAsia" w:ascii="仿宋_GB2312" w:eastAsia="仿宋_GB2312"/>
          <w:sz w:val="32"/>
          <w:szCs w:val="32"/>
          <w:u w:val="none"/>
        </w:rPr>
        <w:t>师范大学</w:t>
      </w:r>
    </w:p>
    <w:p>
      <w:pPr>
        <w:spacing w:line="580" w:lineRule="exact"/>
        <w:ind w:leftChars="400"/>
        <w:rPr>
          <w:rFonts w:hint="eastAsia" w:ascii="仿宋_GB2312" w:eastAsia="仿宋_GB2312"/>
          <w:sz w:val="32"/>
          <w:szCs w:val="32"/>
          <w:u w:val="none"/>
        </w:rPr>
      </w:pPr>
      <w:r>
        <w:rPr>
          <w:rFonts w:hint="eastAsia" w:ascii="仿宋_GB2312" w:eastAsia="仿宋_GB2312"/>
          <w:sz w:val="32"/>
          <w:szCs w:val="32"/>
          <w:u w:val="none"/>
        </w:rPr>
        <w:t>联 系 人：龙主任、童老师</w:t>
      </w:r>
    </w:p>
    <w:p>
      <w:pPr>
        <w:spacing w:line="580" w:lineRule="exact"/>
        <w:ind w:leftChars="400"/>
        <w:rPr>
          <w:rFonts w:hint="eastAsia" w:ascii="仿宋_GB2312" w:eastAsia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联系方式：13926581919，1356444655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6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20CED1D"/>
    <w:multiLevelType w:val="singleLevel"/>
    <w:tmpl w:val="A20CED1D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5426D1A2"/>
    <w:multiLevelType w:val="singleLevel"/>
    <w:tmpl w:val="5426D1A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8D63F2"/>
    <w:rsid w:val="032E6AFA"/>
    <w:rsid w:val="25321E5C"/>
    <w:rsid w:val="2A622742"/>
    <w:rsid w:val="2F8D63F2"/>
    <w:rsid w:val="308C3B1B"/>
    <w:rsid w:val="361001EE"/>
    <w:rsid w:val="38063DD7"/>
    <w:rsid w:val="44E36EBB"/>
    <w:rsid w:val="45B70769"/>
    <w:rsid w:val="4DFF29C3"/>
    <w:rsid w:val="60F4333B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2020-10-12T08:08:00Z</dcterms:created>
  <dc:creator>a</dc:creator>
  <cp:lastModifiedBy>a</cp:lastModifiedBy>
  <dcterms:modified xsi:type="dcterms:W3CDTF">2020-10-20T07:08:10Z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