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75"/>
        </w:tabs>
        <w:spacing w:line="4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tabs>
          <w:tab w:val="left" w:pos="2175"/>
        </w:tabs>
        <w:spacing w:line="480" w:lineRule="exact"/>
        <w:jc w:val="center"/>
        <w:rPr>
          <w:rFonts w:hint="eastAsia" w:ascii="方正小标宋简体" w:hAnsi="黑体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/>
          <w:bCs/>
          <w:sz w:val="36"/>
          <w:szCs w:val="36"/>
        </w:rPr>
        <w:t>2021年嵊州市教育体育局下属学校公开招聘教师计划表</w:t>
      </w:r>
    </w:p>
    <w:bookmarkEnd w:id="0"/>
    <w:tbl>
      <w:tblPr>
        <w:tblStyle w:val="4"/>
        <w:tblpPr w:leftFromText="180" w:rightFromText="180" w:vertAnchor="text" w:horzAnchor="page" w:tblpXSpec="center" w:tblpY="411"/>
        <w:tblOverlap w:val="never"/>
        <w:tblW w:w="138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55"/>
        <w:gridCol w:w="1101"/>
        <w:gridCol w:w="6389"/>
        <w:gridCol w:w="4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exact"/>
          <w:tblHeader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4"/>
                <w:lang w:bidi="ar"/>
              </w:rPr>
              <w:t>岗位（学科）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4"/>
                <w:lang w:bidi="ar"/>
              </w:rPr>
              <w:t>人数</w:t>
            </w:r>
          </w:p>
        </w:tc>
        <w:tc>
          <w:tcPr>
            <w:tcW w:w="6389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452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4"/>
                <w:lang w:bidi="ar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tblHeader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中学语文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6389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中国语言文学类；学科教学（语文）</w:t>
            </w:r>
          </w:p>
        </w:tc>
        <w:tc>
          <w:tcPr>
            <w:tcW w:w="4526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（1）全日制普通高校本科及以上学历毕业生（含2021年应届毕业生）。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（2）具有相应教师资格证书或教师资格考试合格证明（持教师资格考试合格证明报名的，必须同时具备相应的普通话水平测试等级证书）。硕士研究生及以上学历的毕业生、“双一流”高校（其中一流学科建设高校仅限对应建设学科）全日制本科毕业生、原“985”“211”高校全日制本科毕业生可以报考，但须在聘用后两年内取得相应教师资格证书。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（3）大学期间所学专业符合招聘岗位专业要求，或教师资格证书任教学科与招聘岗位对应。</w:t>
            </w:r>
          </w:p>
          <w:p>
            <w:pPr>
              <w:spacing w:line="32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（4）硕士研究生及以上学历的毕业生年龄要求30周岁以下（1991年4月8日及以后出生），本科生年龄要求25周岁以下（1996年4月8日及以后出生）。年龄计算以身份证出生日期为依据。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tblHeader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中学数学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6389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数学类；学科教学（数学）</w:t>
            </w:r>
          </w:p>
        </w:tc>
        <w:tc>
          <w:tcPr>
            <w:tcW w:w="4526" w:type="dxa"/>
            <w:vMerge w:val="continue"/>
            <w:noWrap w:val="0"/>
            <w:vAlign w:val="center"/>
          </w:tcPr>
          <w:p>
            <w:pPr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高中政治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6389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马克思主义理论类、哲学类、政治学类；学科教学（思政）</w:t>
            </w:r>
          </w:p>
        </w:tc>
        <w:tc>
          <w:tcPr>
            <w:tcW w:w="4526" w:type="dxa"/>
            <w:vMerge w:val="continue"/>
            <w:noWrap w:val="0"/>
            <w:vAlign w:val="center"/>
          </w:tcPr>
          <w:p>
            <w:pPr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高中历史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6389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历史学类；学科教学（历史）</w:t>
            </w:r>
          </w:p>
        </w:tc>
        <w:tc>
          <w:tcPr>
            <w:tcW w:w="4526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高中地理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6389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地理科学类；学科教学（地理）</w:t>
            </w:r>
          </w:p>
        </w:tc>
        <w:tc>
          <w:tcPr>
            <w:tcW w:w="4526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exact"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初中社会法治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6389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马克思主义理论类、哲学类、政治学类、历史学类；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人文教育、学科教学（思政、历史）</w:t>
            </w:r>
          </w:p>
        </w:tc>
        <w:tc>
          <w:tcPr>
            <w:tcW w:w="4526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小学语文1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6389" w:type="dxa"/>
            <w:vMerge w:val="restart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中国语言文学类；小学教育、</w:t>
            </w:r>
            <w:r>
              <w:rPr>
                <w:rFonts w:hint="eastAsia" w:ascii="仿宋_GB2312" w:eastAsia="仿宋_GB2312"/>
                <w:sz w:val="24"/>
              </w:rPr>
              <w:t>学科教学（语文）</w:t>
            </w:r>
          </w:p>
        </w:tc>
        <w:tc>
          <w:tcPr>
            <w:tcW w:w="4526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小学语文2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6389" w:type="dxa"/>
            <w:vMerge w:val="continue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</w:p>
        </w:tc>
        <w:tc>
          <w:tcPr>
            <w:tcW w:w="4526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小学数学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6389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数学类；小学教育、</w:t>
            </w:r>
            <w:r>
              <w:rPr>
                <w:rFonts w:hint="eastAsia" w:ascii="仿宋_GB2312" w:eastAsia="仿宋_GB2312"/>
                <w:sz w:val="24"/>
              </w:rPr>
              <w:t>学科教学（数学）</w:t>
            </w:r>
          </w:p>
        </w:tc>
        <w:tc>
          <w:tcPr>
            <w:tcW w:w="4526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exact"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中小学英语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6389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英语、翻译（英语方向）、商务英语、英语语言文学、外国语言学及应用语言学（英语方向）、学科教学（英语）</w:t>
            </w:r>
          </w:p>
        </w:tc>
        <w:tc>
          <w:tcPr>
            <w:tcW w:w="4526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exact"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中小学科学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6389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物理学类、化学类、生物科学类；科学教育、学科教学（物理、化学、生物）</w:t>
            </w:r>
          </w:p>
        </w:tc>
        <w:tc>
          <w:tcPr>
            <w:tcW w:w="4526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exact"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中小学美术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2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其中雕刻方向1名</w:t>
            </w:r>
          </w:p>
        </w:tc>
        <w:tc>
          <w:tcPr>
            <w:tcW w:w="6389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美术学类、设计学类；动画、学科教学（美术）</w:t>
            </w:r>
          </w:p>
        </w:tc>
        <w:tc>
          <w:tcPr>
            <w:tcW w:w="4526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  <w:tblHeader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4"/>
                <w:lang w:bidi="ar"/>
              </w:rPr>
              <w:t>岗位（学科）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4"/>
                <w:lang w:bidi="ar"/>
              </w:rPr>
              <w:t>人数</w:t>
            </w:r>
          </w:p>
        </w:tc>
        <w:tc>
          <w:tcPr>
            <w:tcW w:w="10915" w:type="dxa"/>
            <w:gridSpan w:val="2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24"/>
                <w:lang w:bidi="ar"/>
              </w:rPr>
              <w:t>应聘要求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3" w:hRule="atLeast"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学前教育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10915" w:type="dxa"/>
            <w:gridSpan w:val="2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（1）具有国家承认的国民教育系列专科及以上学历毕业生（含2021年应届毕业生）。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（2）具有学前教育（幼儿园）教师资格证书或学前教育（幼儿园）教师资格考试合格证明（持教师资格考试合格证明报名的，必须同时具备相应的普通话水平测试等级证书）。硕士研究生及以上学历的毕业生、“双一流”高校（其中一流学科建设高校仅限对应建设学科）全日制本科毕业生、原“985”“211”高校全日制本科毕业生可以报考，但须在聘用后两年内取得相应教师资格证书。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（3）大学期间所学专业为学前教育，或教师资格证书任教学科为学前教育。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（4）硕士研究生及以上学历的毕业生年龄要求30周岁以下（1991年4月8日及以后出生）。本、专科生年龄要求25周岁以下（1996年4月8日及以后出生），其中具有幼教专业技术职称证书的，可放宽到30周岁以下（1991年4月8日及以后出生）。年龄计算以身份证出生日期为依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exact"/>
        </w:trPr>
        <w:tc>
          <w:tcPr>
            <w:tcW w:w="185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合计</w:t>
            </w:r>
          </w:p>
        </w:tc>
        <w:tc>
          <w:tcPr>
            <w:tcW w:w="1101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64</w:t>
            </w:r>
          </w:p>
        </w:tc>
        <w:tc>
          <w:tcPr>
            <w:tcW w:w="10915" w:type="dxa"/>
            <w:gridSpan w:val="2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</w:p>
        </w:tc>
      </w:tr>
    </w:tbl>
    <w:p>
      <w:pPr>
        <w:tabs>
          <w:tab w:val="left" w:pos="2175"/>
        </w:tabs>
        <w:spacing w:line="280" w:lineRule="exact"/>
        <w:ind w:firstLine="360" w:firstLineChars="150"/>
        <w:jc w:val="left"/>
        <w:rPr>
          <w:rFonts w:hint="eastAsia" w:ascii="仿宋_GB2312" w:hAnsi="宋体" w:eastAsia="仿宋_GB2312" w:cs="仿宋_GB2312"/>
          <w:kern w:val="0"/>
          <w:sz w:val="24"/>
          <w:lang w:bidi="ar"/>
        </w:rPr>
      </w:pPr>
    </w:p>
    <w:p>
      <w:pPr>
        <w:tabs>
          <w:tab w:val="left" w:pos="2175"/>
        </w:tabs>
        <w:spacing w:line="280" w:lineRule="exact"/>
        <w:ind w:firstLine="360" w:firstLineChars="150"/>
        <w:jc w:val="left"/>
        <w:rPr>
          <w:rFonts w:hint="eastAsia" w:ascii="仿宋_GB2312" w:hAnsi="宋体" w:eastAsia="仿宋_GB2312" w:cs="仿宋_GB2312"/>
          <w:kern w:val="0"/>
          <w:sz w:val="24"/>
          <w:lang w:bidi="ar"/>
        </w:rPr>
      </w:pPr>
    </w:p>
    <w:p>
      <w:pPr>
        <w:tabs>
          <w:tab w:val="left" w:pos="2175"/>
        </w:tabs>
        <w:spacing w:line="280" w:lineRule="exact"/>
        <w:ind w:firstLine="360" w:firstLineChars="150"/>
        <w:jc w:val="left"/>
        <w:rPr>
          <w:rFonts w:hint="eastAsia" w:ascii="仿宋_GB2312" w:hAnsi="宋体" w:eastAsia="仿宋_GB2312" w:cs="仿宋_GB2312"/>
          <w:kern w:val="0"/>
          <w:sz w:val="24"/>
          <w:lang w:bidi="ar"/>
        </w:rPr>
      </w:pPr>
    </w:p>
    <w:p>
      <w:pPr>
        <w:tabs>
          <w:tab w:val="left" w:pos="2175"/>
        </w:tabs>
        <w:spacing w:line="280" w:lineRule="exact"/>
        <w:ind w:firstLine="452" w:firstLineChars="150"/>
        <w:jc w:val="left"/>
        <w:rPr>
          <w:rFonts w:hint="eastAsia" w:ascii="楷体_GB2312" w:hAnsi="黑体" w:eastAsia="楷体_GB2312"/>
          <w:b/>
          <w:bCs/>
          <w:sz w:val="30"/>
          <w:szCs w:val="30"/>
        </w:rPr>
      </w:pPr>
    </w:p>
    <w:p>
      <w:pPr>
        <w:tabs>
          <w:tab w:val="left" w:pos="2175"/>
        </w:tabs>
        <w:spacing w:line="280" w:lineRule="exact"/>
        <w:ind w:firstLine="452" w:firstLineChars="150"/>
        <w:jc w:val="left"/>
        <w:rPr>
          <w:rFonts w:hint="eastAsia" w:ascii="楷体_GB2312" w:hAnsi="黑体" w:eastAsia="楷体_GB2312"/>
          <w:b/>
          <w:bCs/>
          <w:sz w:val="30"/>
          <w:szCs w:val="30"/>
        </w:rPr>
      </w:pPr>
    </w:p>
    <w:p>
      <w:pPr>
        <w:tabs>
          <w:tab w:val="left" w:pos="2175"/>
        </w:tabs>
        <w:spacing w:line="280" w:lineRule="exact"/>
        <w:ind w:firstLine="452" w:firstLineChars="150"/>
        <w:jc w:val="left"/>
        <w:rPr>
          <w:rFonts w:hint="eastAsia" w:ascii="楷体_GB2312" w:hAnsi="黑体" w:eastAsia="楷体_GB2312"/>
          <w:b/>
          <w:bCs/>
          <w:sz w:val="30"/>
          <w:szCs w:val="30"/>
        </w:rPr>
      </w:pPr>
    </w:p>
    <w:p>
      <w:pPr>
        <w:tabs>
          <w:tab w:val="left" w:pos="2175"/>
        </w:tabs>
        <w:spacing w:line="280" w:lineRule="exact"/>
        <w:ind w:firstLine="452" w:firstLineChars="150"/>
        <w:jc w:val="left"/>
        <w:rPr>
          <w:rFonts w:hint="eastAsia" w:ascii="楷体_GB2312" w:hAnsi="黑体" w:eastAsia="楷体_GB2312"/>
          <w:b/>
          <w:bCs/>
          <w:sz w:val="30"/>
          <w:szCs w:val="30"/>
        </w:rPr>
      </w:pPr>
    </w:p>
    <w:p>
      <w:pPr>
        <w:tabs>
          <w:tab w:val="left" w:pos="2175"/>
        </w:tabs>
        <w:spacing w:line="280" w:lineRule="exact"/>
        <w:ind w:firstLine="452" w:firstLineChars="150"/>
        <w:jc w:val="left"/>
        <w:rPr>
          <w:rFonts w:hint="eastAsia" w:ascii="楷体_GB2312" w:hAnsi="黑体" w:eastAsia="楷体_GB2312"/>
          <w:b/>
          <w:bCs/>
          <w:sz w:val="30"/>
          <w:szCs w:val="3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9461C"/>
    <w:rsid w:val="4F294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2021-04-08T01:12:00Z</dcterms:created>
  <dc:creator>Administrator</dc:creator>
  <cp:lastModifiedBy>Administrator</cp:lastModifiedBy>
  <dcterms:modified xsi:type="dcterms:W3CDTF">2021-04-08T01:13:01Z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95772E8EC2B04B03B0389BE943078EB9</vt:lpwstr>
  </property>
</Properties>
</file>