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ascii="微软雅黑" w:hAnsi="微软雅黑" w:eastAsia="微软雅黑" w:cs="微软雅黑"/>
          <w:i w:val="0"/>
          <w:iCs w:val="0"/>
          <w:caps w:val="0"/>
          <w:color w:val="42404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424040"/>
          <w:spacing w:val="0"/>
          <w:sz w:val="24"/>
          <w:szCs w:val="24"/>
          <w:shd w:val="clear" w:fill="FFFFFF"/>
        </w:rPr>
        <w:t>附件2</w:t>
      </w:r>
    </w:p>
    <w:tbl>
      <w:tblPr>
        <w:tblW w:w="5000" w:type="pct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493"/>
        <w:gridCol w:w="4084"/>
        <w:gridCol w:w="775"/>
        <w:gridCol w:w="762"/>
        <w:gridCol w:w="7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gridSpan w:val="5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砚山县民族职业高级中学招聘外聘教师岗位设置表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专业名称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专业课程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文化课程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康养休闲旅游服务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医学基础，基础护理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护理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医用化学、解刨学、生理学基础、健康评估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职业规划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中餐烹饪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烹饪概论1、烹饪原料2、基本功2、中式面点技艺2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德育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汽车运用与维修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汽车构造2、新能源概论1、汽车美容2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计算机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汽车服务与营销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学前教育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教师口语2、音乐1、钢琴1、简笔画1、舞蹈1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焊接加工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金属热处理、金属工艺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美容美发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美发基础（化妆基础）、美甲基础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普通话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工业机器人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机械基础2、电工学2、机械与电器识图1</w:t>
            </w:r>
          </w:p>
        </w:tc>
        <w:tc>
          <w:tcPr>
            <w:tcW w:w="0" w:type="auto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无人机操控技术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机电一体化技术</w:t>
            </w: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合计：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  <w:tc>
          <w:tcPr>
            <w:tcW w:w="0" w:type="auto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42404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ED3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2021-04-25T03:26:53Z</dcterms:created>
  <dc:creator>Administrator</dc:creator>
  <cp:lastModifiedBy>Administrator</cp:lastModifiedBy>
  <dcterms:modified xsi:type="dcterms:W3CDTF">2021-04-25T03:26:57Z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29AB003B63A4412B82C8820069C96F3E</vt:lpwstr>
  </property>
</Properties>
</file>