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Style w:val="6"/>
          <w:rFonts w:hint="eastAsia" w:ascii="方正小标宋简体" w:hAnsi="方正小标宋简体" w:eastAsia="方正小标宋简体" w:cs="方正小标宋简体"/>
          <w:b/>
          <w:bCs w:val="0"/>
          <w:sz w:val="28"/>
          <w:szCs w:val="28"/>
          <w:lang w:val="en-US" w:eastAsia="zh-CN"/>
        </w:rPr>
      </w:pPr>
      <w:bookmarkStart w:id="0" w:name="_GoBack"/>
      <w:bookmarkEnd w:id="0"/>
      <w:r>
        <w:rPr>
          <w:rStyle w:val="6"/>
          <w:rFonts w:hint="eastAsia" w:ascii="方正小标宋简体" w:hAnsi="方正小标宋简体" w:eastAsia="方正小标宋简体" w:cs="方正小标宋简体"/>
          <w:b/>
          <w:bCs w:val="0"/>
          <w:sz w:val="28"/>
          <w:szCs w:val="28"/>
          <w:lang w:eastAsia="zh-CN"/>
        </w:rPr>
        <w:t>附件</w:t>
      </w:r>
      <w:r>
        <w:rPr>
          <w:rStyle w:val="6"/>
          <w:rFonts w:hint="eastAsia" w:ascii="方正小标宋简体" w:hAnsi="方正小标宋简体" w:eastAsia="方正小标宋简体" w:cs="方正小标宋简体"/>
          <w:b/>
          <w:bCs w:val="0"/>
          <w:sz w:val="28"/>
          <w:szCs w:val="28"/>
          <w:lang w:val="en-US" w:eastAsia="zh-CN"/>
        </w:rPr>
        <w:t>1</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b/>
          <w:bCs w:val="0"/>
          <w:kern w:val="2"/>
          <w:sz w:val="32"/>
          <w:szCs w:val="32"/>
          <w:lang w:val="en-US" w:eastAsia="zh-CN" w:bidi="ar-SA"/>
        </w:rPr>
      </w:pPr>
      <w:r>
        <w:rPr>
          <w:rStyle w:val="6"/>
          <w:rFonts w:hint="eastAsia" w:ascii="方正小标宋简体" w:hAnsi="方正小标宋简体" w:eastAsia="方正小标宋简体" w:cs="方正小标宋简体"/>
          <w:b/>
          <w:bCs w:val="0"/>
          <w:sz w:val="28"/>
          <w:szCs w:val="28"/>
        </w:rPr>
        <w:tab/>
      </w:r>
      <w:r>
        <w:rPr>
          <w:rFonts w:hint="eastAsia" w:ascii="方正小标宋简体" w:hAnsi="方正小标宋简体" w:eastAsia="方正小标宋简体" w:cs="方正小标宋简体"/>
          <w:b/>
          <w:bCs w:val="0"/>
          <w:kern w:val="2"/>
          <w:sz w:val="32"/>
          <w:szCs w:val="32"/>
          <w:lang w:val="en-US" w:eastAsia="zh-CN" w:bidi="ar-SA"/>
        </w:rPr>
        <w:t>四川省南充高级中学</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b/>
          <w:bCs w:val="0"/>
          <w:sz w:val="48"/>
          <w:szCs w:val="48"/>
        </w:rPr>
      </w:pPr>
      <w:r>
        <w:rPr>
          <w:rFonts w:hint="eastAsia" w:ascii="方正小标宋简体" w:hAnsi="方正小标宋简体" w:eastAsia="方正小标宋简体" w:cs="方正小标宋简体"/>
          <w:b/>
          <w:bCs w:val="0"/>
          <w:kern w:val="2"/>
          <w:sz w:val="32"/>
          <w:szCs w:val="32"/>
          <w:lang w:val="en-US" w:eastAsia="zh-CN" w:bidi="ar-SA"/>
        </w:rPr>
        <w:t>2021年第二批“嘉陵江英才工程”公开引进高层次人才岗位条件及要求一览表</w:t>
      </w:r>
    </w:p>
    <w:p>
      <w:pPr>
        <w:widowControl/>
        <w:spacing w:line="280" w:lineRule="exact"/>
        <w:rPr>
          <w:rFonts w:hint="eastAsia" w:ascii="宋体" w:hAnsi="宋体" w:cs="宋体"/>
          <w:b/>
          <w:bCs w:val="0"/>
          <w:kern w:val="0"/>
          <w:sz w:val="20"/>
          <w:szCs w:val="20"/>
        </w:rPr>
      </w:pPr>
    </w:p>
    <w:tbl>
      <w:tblPr>
        <w:tblStyle w:val="4"/>
        <w:tblW w:w="142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767"/>
        <w:gridCol w:w="3583"/>
        <w:gridCol w:w="650"/>
        <w:gridCol w:w="1000"/>
        <w:gridCol w:w="3300"/>
        <w:gridCol w:w="1217"/>
        <w:gridCol w:w="1506"/>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625"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序号</w:t>
            </w:r>
          </w:p>
        </w:tc>
        <w:tc>
          <w:tcPr>
            <w:tcW w:w="767"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引进岗位</w:t>
            </w:r>
          </w:p>
        </w:tc>
        <w:tc>
          <w:tcPr>
            <w:tcW w:w="3583"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专业</w:t>
            </w:r>
          </w:p>
        </w:tc>
        <w:tc>
          <w:tcPr>
            <w:tcW w:w="65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职务职称要求</w:t>
            </w: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学历学位要求</w:t>
            </w:r>
          </w:p>
        </w:tc>
        <w:tc>
          <w:tcPr>
            <w:tcW w:w="33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其他要求</w:t>
            </w:r>
          </w:p>
        </w:tc>
        <w:tc>
          <w:tcPr>
            <w:tcW w:w="1217"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需求</w:t>
            </w:r>
            <w:r>
              <w:rPr>
                <w:rFonts w:hint="eastAsia" w:ascii="仿宋" w:hAnsi="仿宋" w:eastAsia="仿宋" w:cs="仿宋"/>
                <w:b/>
                <w:bCs w:val="0"/>
                <w:sz w:val="21"/>
                <w:szCs w:val="21"/>
              </w:rPr>
              <w:br w:type="textWrapping"/>
            </w:r>
            <w:r>
              <w:rPr>
                <w:rFonts w:hint="eastAsia" w:ascii="仿宋" w:hAnsi="仿宋" w:eastAsia="仿宋" w:cs="仿宋"/>
                <w:b/>
                <w:bCs w:val="0"/>
                <w:sz w:val="21"/>
                <w:szCs w:val="21"/>
              </w:rPr>
              <w:t>人数</w:t>
            </w:r>
          </w:p>
        </w:tc>
        <w:tc>
          <w:tcPr>
            <w:tcW w:w="1506"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r>
              <w:rPr>
                <w:rFonts w:hint="eastAsia" w:ascii="仿宋" w:hAnsi="仿宋" w:eastAsia="仿宋" w:cs="仿宋"/>
                <w:b/>
                <w:bCs w:val="0"/>
                <w:sz w:val="21"/>
                <w:szCs w:val="21"/>
              </w:rPr>
              <w:br w:type="textWrapping"/>
            </w:r>
            <w:r>
              <w:rPr>
                <w:rFonts w:hint="eastAsia" w:ascii="仿宋" w:hAnsi="仿宋" w:eastAsia="仿宋" w:cs="仿宋"/>
                <w:b/>
                <w:bCs w:val="0"/>
                <w:sz w:val="21"/>
                <w:szCs w:val="21"/>
              </w:rPr>
              <w:t>方式</w:t>
            </w:r>
          </w:p>
        </w:tc>
        <w:tc>
          <w:tcPr>
            <w:tcW w:w="1582"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提供薪酬、生活待遇或其他优惠条件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trPr>
        <w:tc>
          <w:tcPr>
            <w:tcW w:w="625"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1</w:t>
            </w:r>
          </w:p>
        </w:tc>
        <w:tc>
          <w:tcPr>
            <w:tcW w:w="767"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语文教师</w:t>
            </w:r>
          </w:p>
        </w:tc>
        <w:tc>
          <w:tcPr>
            <w:tcW w:w="3583" w:type="dxa"/>
            <w:vMerge w:val="restart"/>
            <w:vAlign w:val="center"/>
          </w:tcPr>
          <w:p>
            <w:pPr>
              <w:jc w:val="left"/>
              <w:rPr>
                <w:rFonts w:hint="eastAsia" w:ascii="仿宋" w:hAnsi="仿宋" w:eastAsia="仿宋" w:cs="仿宋"/>
                <w:b/>
                <w:bCs w:val="0"/>
                <w:sz w:val="21"/>
                <w:szCs w:val="21"/>
              </w:rPr>
            </w:pPr>
            <w:r>
              <w:rPr>
                <w:rFonts w:hint="eastAsia" w:ascii="仿宋" w:hAnsi="仿宋" w:eastAsia="仿宋" w:cs="仿宋"/>
                <w:b/>
                <w:bCs w:val="0"/>
                <w:sz w:val="21"/>
                <w:szCs w:val="21"/>
              </w:rPr>
              <w:t>本科：汉语言文学、汉语言、汉语国际教育、古典文献学、应用语言学、中国语文与文化</w:t>
            </w:r>
          </w:p>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学科教学（语文）、课程与教学论（语文方向）、文艺学、语言学及应用语言学、汉语言文字学、中国古典文献学、中国古代文学、中国现当代文学、文学阅读与文学教育、比较文学与世界文学、汉语国际教育</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全日制本科</w:t>
            </w:r>
          </w:p>
        </w:tc>
        <w:tc>
          <w:tcPr>
            <w:tcW w:w="3300" w:type="dxa"/>
            <w:vMerge w:val="restart"/>
            <w:vAlign w:val="center"/>
          </w:tcPr>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jc w:val="both"/>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高中语文</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教师2人；</w:t>
            </w: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初中语文</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教师2人；</w:t>
            </w:r>
          </w:p>
        </w:tc>
        <w:tc>
          <w:tcPr>
            <w:tcW w:w="1506" w:type="dxa"/>
            <w:vMerge w:val="restart"/>
            <w:vAlign w:val="center"/>
          </w:tcPr>
          <w:p>
            <w:pPr>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4" w:hRule="atLeast"/>
        </w:trPr>
        <w:tc>
          <w:tcPr>
            <w:tcW w:w="625" w:type="dxa"/>
            <w:vMerge w:val="continue"/>
            <w:vAlign w:val="center"/>
          </w:tcPr>
          <w:p>
            <w:pPr>
              <w:ind w:firstLine="422" w:firstLineChars="200"/>
              <w:jc w:val="center"/>
              <w:rPr>
                <w:rFonts w:hint="eastAsia"/>
                <w:b/>
                <w:bCs w:val="0"/>
                <w:lang w:val="en-US" w:eastAsia="zh-CN"/>
              </w:rPr>
            </w:pPr>
          </w:p>
        </w:tc>
        <w:tc>
          <w:tcPr>
            <w:tcW w:w="767" w:type="dxa"/>
            <w:vMerge w:val="continue"/>
            <w:vAlign w:val="center"/>
          </w:tcPr>
          <w:p>
            <w:pPr>
              <w:widowControl/>
              <w:spacing w:line="300" w:lineRule="exact"/>
              <w:jc w:val="center"/>
              <w:rPr>
                <w:b/>
                <w:bCs w:val="0"/>
              </w:rPr>
            </w:pPr>
          </w:p>
        </w:tc>
        <w:tc>
          <w:tcPr>
            <w:tcW w:w="3583" w:type="dxa"/>
            <w:vMerge w:val="continue"/>
            <w:vAlign w:val="center"/>
          </w:tcPr>
          <w:p>
            <w:pPr>
              <w:jc w:val="left"/>
              <w:rPr>
                <w:b/>
                <w:bCs w:val="0"/>
              </w:rPr>
            </w:pPr>
          </w:p>
        </w:tc>
        <w:tc>
          <w:tcPr>
            <w:tcW w:w="650" w:type="dxa"/>
            <w:vAlign w:val="center"/>
          </w:tcPr>
          <w:p>
            <w:pPr>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1000" w:type="dxa"/>
            <w:vAlign w:val="center"/>
          </w:tcPr>
          <w:p>
            <w:pPr>
              <w:jc w:val="center"/>
              <w:rPr>
                <w:rFonts w:hint="eastAsia" w:ascii="方正小标宋简体" w:hAnsi="黑体" w:eastAsia="方正小标宋简体" w:cs="宋体"/>
                <w:b/>
                <w:bCs w:val="0"/>
                <w:color w:val="333333"/>
                <w:kern w:val="0"/>
                <w:sz w:val="32"/>
                <w:szCs w:val="32"/>
                <w:vertAlign w:val="baseline"/>
                <w:lang w:val="en-US" w:eastAsia="zh-CN"/>
              </w:rPr>
            </w:pPr>
            <w:r>
              <w:rPr>
                <w:rFonts w:hint="eastAsia" w:ascii="仿宋" w:hAnsi="仿宋" w:eastAsia="仿宋" w:cs="仿宋"/>
                <w:b/>
                <w:bCs w:val="0"/>
                <w:sz w:val="21"/>
                <w:szCs w:val="21"/>
                <w:lang w:eastAsia="zh-CN"/>
              </w:rPr>
              <w:t>硕士研究生及以上</w:t>
            </w:r>
          </w:p>
        </w:tc>
        <w:tc>
          <w:tcPr>
            <w:tcW w:w="3300"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21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506" w:type="dxa"/>
            <w:vMerge w:val="continue"/>
            <w:vAlign w:val="center"/>
          </w:tcPr>
          <w:p>
            <w:pPr>
              <w:spacing w:line="400" w:lineRule="exact"/>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1582"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625" w:type="dxa"/>
            <w:vMerge w:val="restart"/>
            <w:vAlign w:val="center"/>
          </w:tcPr>
          <w:p>
            <w:pPr>
              <w:widowControl/>
              <w:spacing w:line="300" w:lineRule="exact"/>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color w:val="000000"/>
                <w:kern w:val="0"/>
                <w:sz w:val="21"/>
                <w:szCs w:val="21"/>
              </w:rPr>
              <w:t>2</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数学教师</w:t>
            </w:r>
          </w:p>
        </w:tc>
        <w:tc>
          <w:tcPr>
            <w:tcW w:w="3583" w:type="dxa"/>
            <w:vMerge w:val="restart"/>
            <w:vAlign w:val="top"/>
          </w:tcPr>
          <w:p>
            <w:pPr>
              <w:jc w:val="left"/>
              <w:rPr>
                <w:rFonts w:hint="eastAsia" w:ascii="仿宋" w:hAnsi="仿宋" w:eastAsia="仿宋" w:cs="仿宋"/>
                <w:b/>
                <w:bCs w:val="0"/>
                <w:sz w:val="21"/>
                <w:szCs w:val="21"/>
              </w:rPr>
            </w:pPr>
          </w:p>
          <w:p>
            <w:pPr>
              <w:ind w:firstLine="211" w:firstLineChars="100"/>
              <w:jc w:val="left"/>
              <w:rPr>
                <w:rFonts w:hint="eastAsia" w:ascii="仿宋" w:hAnsi="仿宋" w:eastAsia="仿宋" w:cs="仿宋"/>
                <w:b/>
                <w:bCs w:val="0"/>
                <w:sz w:val="21"/>
                <w:szCs w:val="21"/>
              </w:rPr>
            </w:pPr>
            <w:r>
              <w:rPr>
                <w:rFonts w:hint="eastAsia" w:ascii="仿宋" w:hAnsi="仿宋" w:eastAsia="仿宋" w:cs="仿宋"/>
                <w:b/>
                <w:bCs w:val="0"/>
                <w:sz w:val="21"/>
                <w:szCs w:val="21"/>
              </w:rPr>
              <w:t>本科：数学与应用数学、信息与计算科学、数理基础科学、应用数学、计算数学及其应用软件、数学</w:t>
            </w:r>
          </w:p>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硕士研究生：学科教学（数学）、课程与教学论（数学方向）、基础数学、计算数学、概率论与数理统计、应用数学、运筹学与控制论</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高中数学</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教师1人；</w:t>
            </w: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初中数学</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教师3人；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9" w:hRule="atLeast"/>
        </w:trPr>
        <w:tc>
          <w:tcPr>
            <w:tcW w:w="625" w:type="dxa"/>
            <w:vMerge w:val="continue"/>
            <w:vAlign w:val="center"/>
          </w:tcPr>
          <w:p>
            <w:pPr>
              <w:spacing w:line="400" w:lineRule="exact"/>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76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3583"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650" w:type="dxa"/>
            <w:vAlign w:val="center"/>
          </w:tcPr>
          <w:p>
            <w:pPr>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1000" w:type="dxa"/>
            <w:vAlign w:val="center"/>
          </w:tcPr>
          <w:p>
            <w:pPr>
              <w:jc w:val="center"/>
              <w:rPr>
                <w:rFonts w:hint="eastAsia" w:ascii="方正小标宋简体" w:hAnsi="黑体" w:eastAsia="方正小标宋简体" w:cs="宋体"/>
                <w:b/>
                <w:bCs w:val="0"/>
                <w:color w:val="333333"/>
                <w:kern w:val="0"/>
                <w:sz w:val="32"/>
                <w:szCs w:val="32"/>
                <w:vertAlign w:val="baseline"/>
                <w:lang w:val="en-US" w:eastAsia="zh-CN"/>
              </w:rPr>
            </w:pPr>
            <w:r>
              <w:rPr>
                <w:rFonts w:hint="eastAsia" w:ascii="仿宋" w:hAnsi="仿宋" w:eastAsia="仿宋" w:cs="仿宋"/>
                <w:b/>
                <w:bCs w:val="0"/>
                <w:sz w:val="21"/>
                <w:szCs w:val="21"/>
                <w:lang w:eastAsia="zh-CN"/>
              </w:rPr>
              <w:t>硕士研究生及以上</w:t>
            </w:r>
          </w:p>
        </w:tc>
        <w:tc>
          <w:tcPr>
            <w:tcW w:w="3300"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21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506" w:type="dxa"/>
            <w:vMerge w:val="continue"/>
            <w:vAlign w:val="center"/>
          </w:tcPr>
          <w:p>
            <w:pPr>
              <w:spacing w:line="400" w:lineRule="exact"/>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1582"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625"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3</w:t>
            </w:r>
          </w:p>
        </w:tc>
        <w:tc>
          <w:tcPr>
            <w:tcW w:w="767"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英语教师</w:t>
            </w:r>
          </w:p>
        </w:tc>
        <w:tc>
          <w:tcPr>
            <w:tcW w:w="3583" w:type="dxa"/>
            <w:vMerge w:val="restart"/>
            <w:vAlign w:val="center"/>
          </w:tcPr>
          <w:p>
            <w:pPr>
              <w:jc w:val="left"/>
              <w:rPr>
                <w:rFonts w:hint="eastAsia" w:ascii="仿宋" w:hAnsi="仿宋" w:eastAsia="仿宋" w:cs="仿宋"/>
                <w:b/>
                <w:bCs w:val="0"/>
                <w:sz w:val="21"/>
                <w:szCs w:val="21"/>
              </w:rPr>
            </w:pPr>
            <w:r>
              <w:rPr>
                <w:rFonts w:hint="eastAsia" w:ascii="仿宋" w:hAnsi="仿宋" w:eastAsia="仿宋" w:cs="仿宋"/>
                <w:b/>
                <w:bCs w:val="0"/>
                <w:sz w:val="21"/>
                <w:szCs w:val="21"/>
              </w:rPr>
              <w:t>本科：英语、英语语言文学、翻译、商务英语、应用英语</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硕士研究生：学科教学（英语）、课程与教学论（英语方向）、外国语言学及应用语言学、翻译硕士专业（英语笔译、英语口译）、英语语言文学</w:t>
            </w:r>
          </w:p>
        </w:tc>
        <w:tc>
          <w:tcPr>
            <w:tcW w:w="65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全日制本科</w:t>
            </w:r>
          </w:p>
        </w:tc>
        <w:tc>
          <w:tcPr>
            <w:tcW w:w="3300" w:type="dxa"/>
            <w:vMerge w:val="restart"/>
            <w:vAlign w:val="top"/>
          </w:tcPr>
          <w:p>
            <w:pPr>
              <w:jc w:val="both"/>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1.</w:t>
            </w:r>
            <w:r>
              <w:rPr>
                <w:rFonts w:hint="eastAsia" w:ascii="仿宋" w:hAnsi="仿宋" w:eastAsia="仿宋" w:cs="仿宋"/>
                <w:b/>
                <w:bCs w:val="0"/>
                <w:sz w:val="21"/>
                <w:szCs w:val="21"/>
              </w:rPr>
              <w:t>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高中英语</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教师2人；</w:t>
            </w: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初中英语</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教师2人；</w:t>
            </w:r>
          </w:p>
        </w:tc>
        <w:tc>
          <w:tcPr>
            <w:tcW w:w="1506" w:type="dxa"/>
            <w:vMerge w:val="restart"/>
            <w:vAlign w:val="center"/>
          </w:tcPr>
          <w:p>
            <w:pPr>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jc w:val="center"/>
              <w:rPr>
                <w:rFonts w:hint="eastAsia" w:ascii="仿宋" w:hAnsi="仿宋" w:eastAsia="仿宋" w:cs="仿宋"/>
                <w:b/>
                <w:bCs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atLeast"/>
        </w:trPr>
        <w:tc>
          <w:tcPr>
            <w:tcW w:w="625" w:type="dxa"/>
            <w:vMerge w:val="continue"/>
            <w:vAlign w:val="center"/>
          </w:tcPr>
          <w:p>
            <w:pPr>
              <w:spacing w:line="400" w:lineRule="exact"/>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76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3583"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650" w:type="dxa"/>
            <w:vAlign w:val="center"/>
          </w:tcPr>
          <w:p>
            <w:pPr>
              <w:jc w:val="center"/>
              <w:rPr>
                <w:rFonts w:hint="eastAsia" w:ascii="仿宋" w:hAnsi="仿宋" w:eastAsia="仿宋" w:cs="仿宋"/>
                <w:b/>
                <w:bCs w:val="0"/>
                <w:sz w:val="21"/>
                <w:szCs w:val="21"/>
                <w:lang w:val="en-US" w:eastAsia="zh-CN"/>
              </w:rPr>
            </w:pP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eastAsia="zh-CN"/>
              </w:rPr>
              <w:t>硕士研究生及以上</w:t>
            </w:r>
          </w:p>
        </w:tc>
        <w:tc>
          <w:tcPr>
            <w:tcW w:w="3300"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21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506" w:type="dxa"/>
            <w:vMerge w:val="continue"/>
            <w:vAlign w:val="center"/>
          </w:tcPr>
          <w:p>
            <w:pPr>
              <w:spacing w:line="400" w:lineRule="exact"/>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1582"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4</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物理教师</w:t>
            </w:r>
          </w:p>
        </w:tc>
        <w:tc>
          <w:tcPr>
            <w:tcW w:w="3583" w:type="dxa"/>
            <w:vMerge w:val="restart"/>
            <w:vAlign w:val="center"/>
          </w:tcPr>
          <w:p>
            <w:pPr>
              <w:jc w:val="left"/>
              <w:rPr>
                <w:rFonts w:hint="eastAsia" w:ascii="仿宋" w:hAnsi="仿宋" w:eastAsia="仿宋" w:cs="仿宋"/>
                <w:b/>
                <w:bCs w:val="0"/>
                <w:sz w:val="21"/>
                <w:szCs w:val="21"/>
              </w:rPr>
            </w:pPr>
            <w:r>
              <w:rPr>
                <w:rFonts w:hint="eastAsia" w:ascii="仿宋" w:hAnsi="仿宋" w:eastAsia="仿宋" w:cs="仿宋"/>
                <w:b/>
                <w:bCs w:val="0"/>
                <w:sz w:val="21"/>
                <w:szCs w:val="21"/>
              </w:rPr>
              <w:t>本科：物理学、应用物理学、声学、光学、光学工程、物理学教育</w:t>
            </w:r>
          </w:p>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硕士研究生：学科教学（物理）、课程与教学论（物理方向）、理论物理、粒子物理与原子核物理、原子与分子物理、等离子体物理、凝聚态物理、声学、光学、光学工程、无线电物理</w:t>
            </w:r>
          </w:p>
        </w:tc>
        <w:tc>
          <w:tcPr>
            <w:tcW w:w="65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高中物理</w:t>
            </w:r>
          </w:p>
          <w:p>
            <w:pP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教师1人；</w:t>
            </w:r>
          </w:p>
          <w:p>
            <w:pPr>
              <w:rPr>
                <w:rFonts w:hint="eastAsia" w:ascii="仿宋" w:hAnsi="仿宋" w:eastAsia="仿宋" w:cs="仿宋"/>
                <w:b/>
                <w:bCs w:val="0"/>
                <w:sz w:val="21"/>
                <w:szCs w:val="21"/>
                <w:lang w:val="en-US" w:eastAsia="zh-CN"/>
              </w:rPr>
            </w:pPr>
          </w:p>
          <w:p>
            <w:pP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初中物理</w:t>
            </w: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教师1人；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25" w:type="dxa"/>
            <w:vMerge w:val="continue"/>
            <w:vAlign w:val="center"/>
          </w:tcPr>
          <w:p>
            <w:pPr>
              <w:spacing w:line="400" w:lineRule="exact"/>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76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3583"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650" w:type="dxa"/>
            <w:vAlign w:val="center"/>
          </w:tcPr>
          <w:p>
            <w:pPr>
              <w:jc w:val="center"/>
              <w:rPr>
                <w:rFonts w:hint="eastAsia" w:ascii="仿宋" w:hAnsi="仿宋" w:eastAsia="仿宋" w:cs="仿宋"/>
                <w:b/>
                <w:bCs w:val="0"/>
                <w:sz w:val="21"/>
                <w:szCs w:val="21"/>
                <w:lang w:val="en-US" w:eastAsia="zh-CN"/>
              </w:rPr>
            </w:pP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eastAsia="zh-CN"/>
              </w:rPr>
              <w:t>硕士研究生及以上</w:t>
            </w:r>
          </w:p>
        </w:tc>
        <w:tc>
          <w:tcPr>
            <w:tcW w:w="3300"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21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506" w:type="dxa"/>
            <w:vMerge w:val="continue"/>
            <w:vAlign w:val="center"/>
          </w:tcPr>
          <w:p>
            <w:pPr>
              <w:spacing w:line="400" w:lineRule="exact"/>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1582"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8" w:hRule="atLeast"/>
        </w:trPr>
        <w:tc>
          <w:tcPr>
            <w:tcW w:w="625"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5</w:t>
            </w:r>
          </w:p>
        </w:tc>
        <w:tc>
          <w:tcPr>
            <w:tcW w:w="767"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化学教师</w:t>
            </w:r>
          </w:p>
        </w:tc>
        <w:tc>
          <w:tcPr>
            <w:tcW w:w="3583" w:type="dxa"/>
            <w:vMerge w:val="restart"/>
            <w:vAlign w:val="center"/>
          </w:tcPr>
          <w:p>
            <w:pPr>
              <w:jc w:val="left"/>
              <w:rPr>
                <w:rFonts w:hint="eastAsia" w:ascii="仿宋" w:hAnsi="仿宋" w:eastAsia="仿宋" w:cs="仿宋"/>
                <w:b/>
                <w:bCs w:val="0"/>
                <w:sz w:val="21"/>
                <w:szCs w:val="21"/>
              </w:rPr>
            </w:pPr>
            <w:r>
              <w:rPr>
                <w:rFonts w:hint="eastAsia" w:ascii="仿宋" w:hAnsi="仿宋" w:eastAsia="仿宋" w:cs="仿宋"/>
                <w:b/>
                <w:bCs w:val="0"/>
                <w:sz w:val="21"/>
                <w:szCs w:val="21"/>
              </w:rPr>
              <w:t>本科：化学、应用化学、化学生物学、分子科学与工程、能源化学、化学教育、放射化学</w:t>
            </w:r>
          </w:p>
          <w:p>
            <w:pPr>
              <w:jc w:val="left"/>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硕士研究生：学科教学（化学）、课程与教学论（化学方向）、化学、无机化学、分析化学、有机化学、物理化学、高分子化学与物理、材料化学、化学生物学、环境化学、材料物流与化学、放射化学、化学信息</w:t>
            </w:r>
          </w:p>
        </w:tc>
        <w:tc>
          <w:tcPr>
            <w:tcW w:w="65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sz w:val="21"/>
                <w:szCs w:val="21"/>
              </w:rPr>
            </w:pP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rPr>
                <w:rFonts w:hint="eastAsia" w:ascii="仿宋" w:hAnsi="仿宋" w:eastAsia="仿宋" w:cs="仿宋"/>
                <w:b/>
                <w:bCs w:val="0"/>
                <w:sz w:val="21"/>
                <w:szCs w:val="21"/>
                <w:lang w:val="en-US" w:eastAsia="zh-CN"/>
              </w:rPr>
            </w:pPr>
          </w:p>
          <w:p>
            <w:pPr>
              <w:rPr>
                <w:rFonts w:hint="eastAsia" w:ascii="仿宋" w:hAnsi="仿宋" w:eastAsia="仿宋" w:cs="仿宋"/>
                <w:b/>
                <w:bCs w:val="0"/>
                <w:sz w:val="21"/>
                <w:szCs w:val="21"/>
                <w:lang w:val="en-US" w:eastAsia="zh-CN"/>
              </w:rPr>
            </w:pPr>
          </w:p>
          <w:p>
            <w:pPr>
              <w:rPr>
                <w:rFonts w:hint="eastAsia" w:ascii="仿宋" w:hAnsi="仿宋" w:eastAsia="仿宋" w:cs="仿宋"/>
                <w:b/>
                <w:bCs w:val="0"/>
                <w:sz w:val="21"/>
                <w:szCs w:val="21"/>
                <w:lang w:val="en-US" w:eastAsia="zh-CN"/>
              </w:rPr>
            </w:pPr>
          </w:p>
          <w:p>
            <w:pP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高中化学</w:t>
            </w:r>
          </w:p>
          <w:p>
            <w:pP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教师2人；</w:t>
            </w:r>
          </w:p>
          <w:p>
            <w:pPr>
              <w:rPr>
                <w:rFonts w:hint="eastAsia" w:ascii="仿宋" w:hAnsi="仿宋" w:eastAsia="仿宋" w:cs="仿宋"/>
                <w:b/>
                <w:bCs w:val="0"/>
                <w:sz w:val="21"/>
                <w:szCs w:val="21"/>
                <w:lang w:val="en-US" w:eastAsia="zh-CN"/>
              </w:rPr>
            </w:pPr>
          </w:p>
          <w:p>
            <w:pPr>
              <w:rPr>
                <w:rFonts w:hint="eastAsia" w:ascii="仿宋" w:hAnsi="仿宋" w:eastAsia="仿宋" w:cs="仿宋"/>
                <w:b/>
                <w:bCs w:val="0"/>
                <w:color w:val="333333"/>
                <w:kern w:val="0"/>
                <w:sz w:val="21"/>
                <w:szCs w:val="21"/>
                <w:vertAlign w:val="baseline"/>
                <w:lang w:val="en-US" w:eastAsia="zh-CN"/>
              </w:rPr>
            </w:pP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sz w:val="21"/>
                <w:szCs w:val="21"/>
                <w:lang w:val="en-US" w:eastAsia="zh-CN"/>
              </w:rPr>
            </w:pP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6"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6</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生物教师</w:t>
            </w:r>
          </w:p>
        </w:tc>
        <w:tc>
          <w:tcPr>
            <w:tcW w:w="3583" w:type="dxa"/>
            <w:vMerge w:val="restart"/>
            <w:vAlign w:val="center"/>
          </w:tcPr>
          <w:p>
            <w:pPr>
              <w:jc w:val="left"/>
              <w:rPr>
                <w:rFonts w:hint="eastAsia" w:ascii="仿宋" w:hAnsi="仿宋" w:eastAsia="仿宋" w:cs="仿宋"/>
                <w:b/>
                <w:bCs w:val="0"/>
                <w:sz w:val="21"/>
                <w:szCs w:val="21"/>
              </w:rPr>
            </w:pPr>
            <w:r>
              <w:rPr>
                <w:rFonts w:hint="eastAsia" w:ascii="仿宋" w:hAnsi="仿宋" w:eastAsia="仿宋" w:cs="仿宋"/>
                <w:b/>
                <w:bCs w:val="0"/>
                <w:sz w:val="21"/>
                <w:szCs w:val="21"/>
              </w:rPr>
              <w:t>本科：生物科学、生物技术、生物信息学、生物信息技术、生物科学与生物技术、生物化学与分子生物学、植物生物技术、动物生物技术、生物工程、生态学</w:t>
            </w:r>
          </w:p>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硕士研究生：学科教学（生物）、课程与教学论（生物方向）、植物学、动物学、水生生物学、微生物学、遗传学、发育生物学、细胞生物学、生物化学与分子生物学、生物物理学、生态学、生物学</w:t>
            </w:r>
          </w:p>
        </w:tc>
        <w:tc>
          <w:tcPr>
            <w:tcW w:w="65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sz w:val="21"/>
                <w:szCs w:val="21"/>
              </w:rPr>
            </w:pP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高中生物</w:t>
            </w:r>
          </w:p>
          <w:p>
            <w:pP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教师1人；</w:t>
            </w:r>
          </w:p>
          <w:p>
            <w:pPr>
              <w:rPr>
                <w:rFonts w:hint="eastAsia" w:ascii="仿宋" w:hAnsi="仿宋" w:eastAsia="仿宋" w:cs="仿宋"/>
                <w:b/>
                <w:bCs w:val="0"/>
                <w:sz w:val="21"/>
                <w:szCs w:val="21"/>
                <w:lang w:val="en-US" w:eastAsia="zh-CN"/>
              </w:rPr>
            </w:pPr>
          </w:p>
          <w:p>
            <w:pP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初中生物</w:t>
            </w: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教师2人；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sz w:val="21"/>
                <w:szCs w:val="21"/>
                <w:lang w:val="en-US" w:eastAsia="zh-CN"/>
              </w:rPr>
            </w:pP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7</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政治教师</w:t>
            </w:r>
          </w:p>
        </w:tc>
        <w:tc>
          <w:tcPr>
            <w:tcW w:w="3583" w:type="dxa"/>
            <w:vMerge w:val="restart"/>
            <w:vAlign w:val="center"/>
          </w:tcPr>
          <w:p>
            <w:pPr>
              <w:jc w:val="left"/>
              <w:rPr>
                <w:rFonts w:hint="eastAsia" w:ascii="仿宋" w:hAnsi="仿宋" w:eastAsia="仿宋" w:cs="仿宋"/>
                <w:b/>
                <w:bCs w:val="0"/>
                <w:sz w:val="21"/>
                <w:szCs w:val="21"/>
              </w:rPr>
            </w:pPr>
            <w:r>
              <w:rPr>
                <w:rFonts w:hint="eastAsia" w:ascii="仿宋" w:hAnsi="仿宋" w:eastAsia="仿宋" w:cs="仿宋"/>
                <w:b/>
                <w:bCs w:val="0"/>
                <w:sz w:val="21"/>
                <w:szCs w:val="21"/>
              </w:rPr>
              <w:t>本科：思想政治教育、马克思主义理论、中国共产党历史、科学社会主义</w:t>
            </w:r>
          </w:p>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学科教学（思政）、课程与教学论（思政方向）、马克思主义基本原理、马克思主义发展史、马克思主义中国化研究、马克思主义中国化、国外马克思主义研究、马克思主义理论与思想政治教育、马克思主义理论、思想政治教育</w:t>
            </w:r>
          </w:p>
        </w:tc>
        <w:tc>
          <w:tcPr>
            <w:tcW w:w="65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sz w:val="21"/>
                <w:szCs w:val="21"/>
              </w:rPr>
            </w:pP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高中政治</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教师1人；</w:t>
            </w: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初中政治</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教师1人；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1"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sz w:val="21"/>
                <w:szCs w:val="21"/>
                <w:lang w:val="en-US" w:eastAsia="zh-CN"/>
              </w:rPr>
            </w:pP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8</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历史教师</w:t>
            </w:r>
          </w:p>
        </w:tc>
        <w:tc>
          <w:tcPr>
            <w:tcW w:w="3583" w:type="dxa"/>
            <w:vMerge w:val="restart"/>
            <w:vAlign w:val="center"/>
          </w:tcPr>
          <w:p>
            <w:pPr>
              <w:jc w:val="left"/>
              <w:rPr>
                <w:rFonts w:hint="eastAsia" w:ascii="仿宋" w:hAnsi="仿宋" w:eastAsia="仿宋" w:cs="仿宋"/>
                <w:b/>
                <w:bCs w:val="0"/>
                <w:sz w:val="21"/>
                <w:szCs w:val="21"/>
              </w:rPr>
            </w:pPr>
            <w:r>
              <w:rPr>
                <w:rFonts w:hint="eastAsia" w:ascii="仿宋" w:hAnsi="仿宋" w:eastAsia="仿宋" w:cs="仿宋"/>
                <w:b/>
                <w:bCs w:val="0"/>
                <w:sz w:val="21"/>
                <w:szCs w:val="21"/>
              </w:rPr>
              <w:t>本科：历史学、世界史、考古学、国际关系史</w:t>
            </w:r>
          </w:p>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学科教学（历史）、课程与教学论（历史方向）、中国近现代史基本问题研究、史学理论及史学史、考古学及博物馆学、历史文献学、专门史、中国古代史、中国近现代史、世界史、国际关系史、考古学、中国史</w:t>
            </w:r>
          </w:p>
        </w:tc>
        <w:tc>
          <w:tcPr>
            <w:tcW w:w="65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全日制本科</w:t>
            </w:r>
          </w:p>
        </w:tc>
        <w:tc>
          <w:tcPr>
            <w:tcW w:w="3300" w:type="dxa"/>
            <w:vMerge w:val="restart"/>
            <w:vAlign w:val="center"/>
          </w:tcPr>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jc w:val="both"/>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高中历史</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教师1人；</w:t>
            </w: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初中历史</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教师2人；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sz w:val="21"/>
                <w:szCs w:val="21"/>
                <w:lang w:val="en-US" w:eastAsia="zh-CN"/>
              </w:rPr>
            </w:pPr>
          </w:p>
        </w:tc>
        <w:tc>
          <w:tcPr>
            <w:tcW w:w="1000" w:type="dxa"/>
            <w:vAlign w:val="center"/>
          </w:tcPr>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9"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9</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地理教师</w:t>
            </w:r>
          </w:p>
        </w:tc>
        <w:tc>
          <w:tcPr>
            <w:tcW w:w="3583" w:type="dxa"/>
            <w:vMerge w:val="restart"/>
            <w:vAlign w:val="center"/>
          </w:tcPr>
          <w:p>
            <w:pPr>
              <w:rPr>
                <w:rFonts w:hint="eastAsia" w:ascii="仿宋" w:hAnsi="仿宋" w:eastAsia="仿宋" w:cs="仿宋"/>
                <w:b/>
                <w:bCs w:val="0"/>
                <w:sz w:val="21"/>
                <w:szCs w:val="21"/>
              </w:rPr>
            </w:pPr>
            <w:r>
              <w:rPr>
                <w:rFonts w:hint="eastAsia" w:ascii="仿宋" w:hAnsi="仿宋" w:eastAsia="仿宋" w:cs="仿宋"/>
                <w:b/>
                <w:bCs w:val="0"/>
                <w:sz w:val="21"/>
                <w:szCs w:val="21"/>
              </w:rPr>
              <w:t>本科：地理科学、地理信息科学、自然地理与资源环境、地理学、地理学教育</w:t>
            </w: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硕士研究生：学科教学（地理）、课程与教学论（地理方向）、地理、地理学、自然地理学、人文地理学、地图学与地理信息系统</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sz w:val="21"/>
                <w:szCs w:val="21"/>
              </w:rPr>
            </w:pPr>
          </w:p>
          <w:p>
            <w:pPr>
              <w:rPr>
                <w:rFonts w:hint="eastAsia" w:ascii="仿宋" w:hAnsi="仿宋" w:eastAsia="仿宋" w:cs="仿宋"/>
                <w:b/>
                <w:bCs w:val="0"/>
                <w:sz w:val="21"/>
                <w:szCs w:val="21"/>
              </w:rPr>
            </w:pP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初中地理教师1人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7"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10</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体育教师</w:t>
            </w:r>
          </w:p>
        </w:tc>
        <w:tc>
          <w:tcPr>
            <w:tcW w:w="3583" w:type="dxa"/>
            <w:vMerge w:val="restart"/>
            <w:vAlign w:val="center"/>
          </w:tcPr>
          <w:p>
            <w:pPr>
              <w:rPr>
                <w:rFonts w:hint="eastAsia" w:ascii="仿宋" w:hAnsi="仿宋" w:eastAsia="仿宋" w:cs="仿宋"/>
                <w:b/>
                <w:bCs w:val="0"/>
                <w:sz w:val="21"/>
                <w:szCs w:val="21"/>
              </w:rPr>
            </w:pPr>
            <w:r>
              <w:rPr>
                <w:rFonts w:hint="eastAsia" w:ascii="仿宋" w:hAnsi="仿宋" w:eastAsia="仿宋" w:cs="仿宋"/>
                <w:b/>
                <w:bCs w:val="0"/>
                <w:sz w:val="21"/>
                <w:szCs w:val="21"/>
              </w:rPr>
              <w:t>本科：体育教育、运动训练、武术与民族传统体育、运动科学、武术、休闲体育</w:t>
            </w: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硕士研究生：学科教学（体育）、课程与教学论（体育方向）、体育人文社会学、运动人体科学、体育教育训练学、民族传统体育学、体育硕士专业（体育教学、运动训练、竞赛组织、社会体育指导）</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sz w:val="21"/>
                <w:szCs w:val="21"/>
              </w:rPr>
            </w:pPr>
          </w:p>
          <w:p>
            <w:pPr>
              <w:rPr>
                <w:rFonts w:hint="eastAsia" w:ascii="仿宋" w:hAnsi="仿宋" w:eastAsia="仿宋" w:cs="仿宋"/>
                <w:b/>
                <w:bCs w:val="0"/>
                <w:sz w:val="21"/>
                <w:szCs w:val="21"/>
              </w:rPr>
            </w:pP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w:t>
            </w:r>
            <w:r>
              <w:rPr>
                <w:rFonts w:hint="eastAsia" w:ascii="仿宋" w:hAnsi="仿宋" w:eastAsia="仿宋" w:cs="仿宋"/>
                <w:b/>
                <w:bCs w:val="0"/>
                <w:sz w:val="21"/>
                <w:szCs w:val="21"/>
                <w:lang w:val="en-US" w:eastAsia="zh-CN"/>
              </w:rPr>
              <w:t>应届硕士研究生或</w:t>
            </w:r>
            <w:r>
              <w:rPr>
                <w:rFonts w:hint="eastAsia" w:ascii="仿宋" w:hAnsi="仿宋" w:eastAsia="仿宋" w:cs="仿宋"/>
                <w:b/>
                <w:bCs w:val="0"/>
                <w:sz w:val="21"/>
                <w:szCs w:val="21"/>
              </w:rPr>
              <w:t>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top"/>
          </w:tcPr>
          <w:p>
            <w:pPr>
              <w:widowControl/>
              <w:spacing w:line="300" w:lineRule="exact"/>
              <w:jc w:val="center"/>
              <w:rPr>
                <w:rFonts w:hint="eastAsia" w:ascii="仿宋" w:hAnsi="仿宋" w:eastAsia="仿宋" w:cs="仿宋"/>
                <w:b/>
                <w:bCs w:val="0"/>
                <w:color w:val="000000"/>
                <w:kern w:val="0"/>
                <w:sz w:val="21"/>
                <w:szCs w:val="21"/>
                <w:lang w:eastAsia="zh-CN"/>
              </w:rPr>
            </w:pPr>
          </w:p>
          <w:p>
            <w:pPr>
              <w:widowControl/>
              <w:spacing w:line="300" w:lineRule="exact"/>
              <w:jc w:val="center"/>
              <w:rPr>
                <w:rFonts w:hint="eastAsia" w:ascii="仿宋" w:hAnsi="仿宋" w:eastAsia="仿宋" w:cs="仿宋"/>
                <w:b/>
                <w:bCs w:val="0"/>
                <w:color w:val="000000"/>
                <w:kern w:val="0"/>
                <w:sz w:val="21"/>
                <w:szCs w:val="21"/>
                <w:lang w:eastAsia="zh-CN"/>
              </w:rPr>
            </w:pPr>
          </w:p>
          <w:p>
            <w:pPr>
              <w:widowControl/>
              <w:spacing w:line="300" w:lineRule="exact"/>
              <w:jc w:val="center"/>
              <w:rPr>
                <w:rFonts w:hint="eastAsia" w:ascii="仿宋" w:hAnsi="仿宋" w:eastAsia="仿宋" w:cs="仿宋"/>
                <w:b/>
                <w:bCs w:val="0"/>
                <w:color w:val="000000"/>
                <w:kern w:val="0"/>
                <w:sz w:val="21"/>
                <w:szCs w:val="21"/>
                <w:lang w:eastAsia="zh-CN"/>
              </w:rPr>
            </w:pPr>
          </w:p>
          <w:p>
            <w:pPr>
              <w:widowControl/>
              <w:spacing w:line="300" w:lineRule="exact"/>
              <w:jc w:val="center"/>
              <w:rPr>
                <w:rFonts w:hint="eastAsia" w:ascii="仿宋" w:hAnsi="仿宋" w:eastAsia="仿宋" w:cs="仿宋"/>
                <w:b/>
                <w:bCs w:val="0"/>
                <w:color w:val="000000"/>
                <w:kern w:val="0"/>
                <w:sz w:val="21"/>
                <w:szCs w:val="21"/>
                <w:lang w:eastAsia="zh-CN"/>
              </w:rPr>
            </w:pPr>
          </w:p>
          <w:p>
            <w:pPr>
              <w:widowControl/>
              <w:spacing w:line="300" w:lineRule="exact"/>
              <w:jc w:val="center"/>
              <w:rPr>
                <w:rFonts w:hint="eastAsia" w:ascii="仿宋" w:hAnsi="仿宋" w:eastAsia="仿宋" w:cs="仿宋"/>
                <w:b/>
                <w:bCs w:val="0"/>
                <w:color w:val="000000"/>
                <w:kern w:val="0"/>
                <w:sz w:val="21"/>
                <w:szCs w:val="21"/>
                <w:lang w:eastAsia="zh-CN"/>
              </w:rPr>
            </w:pPr>
          </w:p>
          <w:p>
            <w:pPr>
              <w:jc w:val="center"/>
              <w:rPr>
                <w:rFonts w:hint="eastAsia" w:ascii="仿宋" w:hAnsi="仿宋" w:eastAsia="仿宋" w:cs="仿宋"/>
                <w:b/>
                <w:bCs w:val="0"/>
                <w:sz w:val="21"/>
                <w:szCs w:val="21"/>
                <w:lang w:eastAsia="zh-CN"/>
              </w:rPr>
            </w:pPr>
          </w:p>
          <w:p>
            <w:pPr>
              <w:jc w:val="center"/>
              <w:rPr>
                <w:rFonts w:hint="eastAsia" w:ascii="仿宋" w:hAnsi="仿宋" w:eastAsia="仿宋" w:cs="仿宋"/>
                <w:b/>
                <w:bCs w:val="0"/>
                <w:sz w:val="21"/>
                <w:szCs w:val="21"/>
                <w:lang w:eastAsia="zh-CN"/>
              </w:rPr>
            </w:pPr>
            <w:r>
              <w:rPr>
                <w:rFonts w:hint="eastAsia" w:ascii="仿宋" w:hAnsi="仿宋" w:eastAsia="仿宋" w:cs="仿宋"/>
                <w:b/>
                <w:bCs w:val="0"/>
                <w:sz w:val="21"/>
                <w:szCs w:val="21"/>
                <w:lang w:eastAsia="zh-CN"/>
              </w:rPr>
              <w:t>初中体育</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eastAsia="zh-CN"/>
              </w:rPr>
              <w:t>教师</w:t>
            </w:r>
            <w:r>
              <w:rPr>
                <w:rFonts w:hint="eastAsia" w:ascii="仿宋" w:hAnsi="仿宋" w:eastAsia="仿宋" w:cs="仿宋"/>
                <w:b/>
                <w:bCs w:val="0"/>
                <w:sz w:val="21"/>
                <w:szCs w:val="21"/>
                <w:lang w:val="en-US" w:eastAsia="zh-CN"/>
              </w:rPr>
              <w:t>2人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5"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6"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w:t>
            </w:r>
            <w:r>
              <w:rPr>
                <w:rFonts w:hint="eastAsia" w:ascii="仿宋" w:hAnsi="仿宋" w:eastAsia="仿宋" w:cs="仿宋"/>
                <w:b/>
                <w:bCs w:val="0"/>
                <w:sz w:val="21"/>
                <w:szCs w:val="21"/>
                <w:lang w:val="en-US" w:eastAsia="zh-CN"/>
              </w:rPr>
              <w:t>1</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美术教师</w:t>
            </w:r>
          </w:p>
        </w:tc>
        <w:tc>
          <w:tcPr>
            <w:tcW w:w="3583" w:type="dxa"/>
            <w:vMerge w:val="restart"/>
            <w:vAlign w:val="center"/>
          </w:tcPr>
          <w:p>
            <w:pPr>
              <w:rPr>
                <w:rFonts w:hint="eastAsia" w:ascii="仿宋" w:hAnsi="仿宋" w:eastAsia="仿宋" w:cs="仿宋"/>
                <w:b/>
                <w:bCs w:val="0"/>
                <w:sz w:val="21"/>
                <w:szCs w:val="21"/>
              </w:rPr>
            </w:pPr>
            <w:r>
              <w:rPr>
                <w:rFonts w:hint="eastAsia" w:ascii="仿宋" w:hAnsi="仿宋" w:eastAsia="仿宋" w:cs="仿宋"/>
                <w:b/>
                <w:bCs w:val="0"/>
                <w:sz w:val="21"/>
                <w:szCs w:val="21"/>
              </w:rPr>
              <w:t>本科：绘画、美术学、中国画、油画、版画、壁画、中国画与书法、书法学</w:t>
            </w: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硕士研究生：美术学、学科教学（美术）、课程与教学论（美术方向）、艺术硕士（美术）</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sz w:val="21"/>
                <w:szCs w:val="21"/>
              </w:rPr>
            </w:pP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top"/>
          </w:tcPr>
          <w:p>
            <w:pPr>
              <w:widowControl/>
              <w:spacing w:line="300" w:lineRule="exact"/>
              <w:jc w:val="center"/>
              <w:rPr>
                <w:rFonts w:hint="eastAsia" w:ascii="仿宋" w:hAnsi="仿宋" w:eastAsia="仿宋" w:cs="仿宋"/>
                <w:b/>
                <w:bCs w:val="0"/>
                <w:sz w:val="21"/>
                <w:szCs w:val="21"/>
                <w:lang w:eastAsia="zh-CN"/>
              </w:rPr>
            </w:pPr>
          </w:p>
          <w:p>
            <w:pPr>
              <w:widowControl/>
              <w:spacing w:line="300" w:lineRule="exact"/>
              <w:jc w:val="both"/>
              <w:rPr>
                <w:rFonts w:hint="eastAsia" w:ascii="仿宋" w:hAnsi="仿宋" w:eastAsia="仿宋" w:cs="仿宋"/>
                <w:b/>
                <w:bCs w:val="0"/>
                <w:sz w:val="21"/>
                <w:szCs w:val="21"/>
                <w:lang w:eastAsia="zh-CN"/>
              </w:rPr>
            </w:pP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高中美术</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教师1人；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9" w:hRule="atLeast"/>
        </w:trPr>
        <w:tc>
          <w:tcPr>
            <w:tcW w:w="625" w:type="dxa"/>
            <w:vMerge w:val="restart"/>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rPr>
              <w:t>1</w:t>
            </w:r>
            <w:r>
              <w:rPr>
                <w:rFonts w:hint="eastAsia" w:ascii="仿宋" w:hAnsi="仿宋" w:eastAsia="仿宋" w:cs="仿宋"/>
                <w:b/>
                <w:bCs w:val="0"/>
                <w:sz w:val="21"/>
                <w:szCs w:val="21"/>
                <w:lang w:val="en-US" w:eastAsia="zh-CN"/>
              </w:rPr>
              <w:t>2</w:t>
            </w:r>
          </w:p>
        </w:tc>
        <w:tc>
          <w:tcPr>
            <w:tcW w:w="767" w:type="dxa"/>
            <w:vMerge w:val="restart"/>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rPr>
              <w:t>心理教师</w:t>
            </w:r>
          </w:p>
        </w:tc>
        <w:tc>
          <w:tcPr>
            <w:tcW w:w="3583" w:type="dxa"/>
            <w:vMerge w:val="restart"/>
            <w:vAlign w:val="center"/>
          </w:tcPr>
          <w:p>
            <w:pPr>
              <w:rPr>
                <w:rFonts w:hint="eastAsia" w:ascii="仿宋" w:hAnsi="仿宋" w:eastAsia="仿宋" w:cs="仿宋"/>
                <w:b/>
                <w:bCs w:val="0"/>
                <w:sz w:val="21"/>
                <w:szCs w:val="21"/>
              </w:rPr>
            </w:pPr>
            <w:r>
              <w:rPr>
                <w:rFonts w:hint="eastAsia" w:ascii="仿宋" w:hAnsi="仿宋" w:eastAsia="仿宋" w:cs="仿宋"/>
                <w:b/>
                <w:bCs w:val="0"/>
                <w:sz w:val="21"/>
                <w:szCs w:val="21"/>
              </w:rPr>
              <w:t>本科：心理学、应用心理学、基础心理学</w:t>
            </w:r>
          </w:p>
          <w:p>
            <w:pP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rPr>
              <w:t>硕士研究生：学科教学（心理学）、基础心理学、发展与教育心理学、应用心理学、认知神经科学、应用心理</w:t>
            </w:r>
          </w:p>
        </w:tc>
        <w:tc>
          <w:tcPr>
            <w:tcW w:w="650" w:type="dxa"/>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rPr>
              <w:t>高级及以上</w:t>
            </w:r>
          </w:p>
        </w:tc>
        <w:tc>
          <w:tcPr>
            <w:tcW w:w="1000" w:type="dxa"/>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rPr>
              <w:t>全日制本科</w:t>
            </w:r>
          </w:p>
        </w:tc>
        <w:tc>
          <w:tcPr>
            <w:tcW w:w="3300" w:type="dxa"/>
            <w:vMerge w:val="restart"/>
            <w:vAlign w:val="top"/>
          </w:tcPr>
          <w:p>
            <w:pP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rPr>
              <w:t>1．</w:t>
            </w:r>
            <w:r>
              <w:rPr>
                <w:rFonts w:hint="eastAsia" w:ascii="仿宋" w:hAnsi="仿宋" w:eastAsia="仿宋" w:cs="仿宋"/>
                <w:b/>
                <w:bCs w:val="0"/>
                <w:sz w:val="21"/>
                <w:szCs w:val="21"/>
                <w:lang w:eastAsia="zh-CN"/>
              </w:rPr>
              <w:t>应届硕士研究生或</w:t>
            </w:r>
            <w:r>
              <w:rPr>
                <w:rFonts w:hint="eastAsia" w:ascii="仿宋" w:hAnsi="仿宋" w:eastAsia="仿宋" w:cs="仿宋"/>
                <w:b/>
                <w:bCs w:val="0"/>
                <w:sz w:val="21"/>
                <w:szCs w:val="21"/>
              </w:rPr>
              <w:t>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top"/>
          </w:tcPr>
          <w:p>
            <w:pPr>
              <w:widowControl/>
              <w:spacing w:line="300" w:lineRule="exact"/>
              <w:jc w:val="center"/>
              <w:rPr>
                <w:rFonts w:hint="eastAsia" w:ascii="仿宋" w:hAnsi="仿宋" w:eastAsia="仿宋" w:cs="仿宋"/>
                <w:b/>
                <w:bCs w:val="0"/>
                <w:color w:val="000000"/>
                <w:kern w:val="0"/>
                <w:sz w:val="21"/>
                <w:szCs w:val="21"/>
                <w:lang w:eastAsia="zh-CN"/>
              </w:rPr>
            </w:pPr>
          </w:p>
          <w:p>
            <w:pPr>
              <w:widowControl/>
              <w:spacing w:line="300" w:lineRule="exact"/>
              <w:jc w:val="center"/>
              <w:rPr>
                <w:rFonts w:hint="eastAsia" w:ascii="仿宋" w:hAnsi="仿宋" w:eastAsia="仿宋" w:cs="仿宋"/>
                <w:b/>
                <w:bCs w:val="0"/>
                <w:color w:val="000000"/>
                <w:kern w:val="0"/>
                <w:sz w:val="21"/>
                <w:szCs w:val="21"/>
                <w:lang w:eastAsia="zh-CN"/>
              </w:rPr>
            </w:pPr>
          </w:p>
          <w:p>
            <w:pPr>
              <w:widowControl/>
              <w:spacing w:line="300" w:lineRule="exact"/>
              <w:jc w:val="center"/>
              <w:rPr>
                <w:rFonts w:hint="eastAsia" w:ascii="仿宋" w:hAnsi="仿宋" w:eastAsia="仿宋" w:cs="仿宋"/>
                <w:b/>
                <w:bCs w:val="0"/>
                <w:color w:val="000000"/>
                <w:kern w:val="0"/>
                <w:sz w:val="21"/>
                <w:szCs w:val="21"/>
                <w:lang w:eastAsia="zh-CN"/>
              </w:rPr>
            </w:pPr>
          </w:p>
          <w:p>
            <w:pPr>
              <w:widowControl/>
              <w:spacing w:line="300" w:lineRule="exact"/>
              <w:jc w:val="center"/>
              <w:rPr>
                <w:rFonts w:hint="eastAsia" w:ascii="仿宋" w:hAnsi="仿宋" w:eastAsia="仿宋" w:cs="仿宋"/>
                <w:b/>
                <w:bCs w:val="0"/>
                <w:color w:val="000000"/>
                <w:kern w:val="0"/>
                <w:sz w:val="21"/>
                <w:szCs w:val="21"/>
                <w:lang w:eastAsia="zh-CN"/>
              </w:rPr>
            </w:pPr>
          </w:p>
          <w:p>
            <w:pPr>
              <w:widowControl/>
              <w:spacing w:line="300" w:lineRule="exact"/>
              <w:jc w:val="center"/>
              <w:rPr>
                <w:rFonts w:hint="eastAsia" w:ascii="仿宋" w:hAnsi="仿宋" w:eastAsia="仿宋" w:cs="仿宋"/>
                <w:b/>
                <w:bCs w:val="0"/>
                <w:color w:val="000000"/>
                <w:kern w:val="0"/>
                <w:sz w:val="21"/>
                <w:szCs w:val="21"/>
                <w:lang w:eastAsia="zh-CN"/>
              </w:rPr>
            </w:pP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lang w:val="en-US" w:eastAsia="zh-CN"/>
              </w:rPr>
              <w:t>5人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sz w:val="21"/>
                <w:szCs w:val="21"/>
                <w:highlight w:val="none"/>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5" w:type="dxa"/>
            <w:vMerge w:val="restart"/>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highlight w:val="none"/>
              </w:rPr>
              <w:t>1</w:t>
            </w:r>
            <w:r>
              <w:rPr>
                <w:rFonts w:hint="eastAsia" w:ascii="仿宋" w:hAnsi="仿宋" w:eastAsia="仿宋" w:cs="仿宋"/>
                <w:b/>
                <w:bCs w:val="0"/>
                <w:sz w:val="21"/>
                <w:szCs w:val="21"/>
                <w:highlight w:val="none"/>
                <w:lang w:val="en-US" w:eastAsia="zh-CN"/>
              </w:rPr>
              <w:t>3</w:t>
            </w:r>
          </w:p>
        </w:tc>
        <w:tc>
          <w:tcPr>
            <w:tcW w:w="767" w:type="dxa"/>
            <w:vMerge w:val="restart"/>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highlight w:val="none"/>
              </w:rPr>
              <w:t>信息技术教师</w:t>
            </w:r>
          </w:p>
        </w:tc>
        <w:tc>
          <w:tcPr>
            <w:tcW w:w="3583" w:type="dxa"/>
            <w:vMerge w:val="restart"/>
            <w:vAlign w:val="center"/>
          </w:tcPr>
          <w:p>
            <w:pPr>
              <w:rPr>
                <w:rFonts w:hint="eastAsia" w:ascii="仿宋" w:hAnsi="仿宋" w:eastAsia="仿宋" w:cs="仿宋"/>
                <w:b/>
                <w:bCs w:val="0"/>
                <w:sz w:val="21"/>
                <w:szCs w:val="21"/>
                <w:highlight w:val="none"/>
              </w:rPr>
            </w:pPr>
            <w:r>
              <w:rPr>
                <w:rFonts w:hint="eastAsia" w:ascii="仿宋" w:hAnsi="仿宋" w:eastAsia="仿宋" w:cs="仿宋"/>
                <w:b/>
                <w:bCs w:val="0"/>
                <w:sz w:val="21"/>
                <w:szCs w:val="21"/>
                <w:highlight w:val="none"/>
              </w:rPr>
              <w:t>本科：教育技术学、计算机科学技术、计算机科学教育、计算机网络技术、计算机网络工程、计算机网络技术工程、网络技术、网络工程、计算机应用、计算机多媒体技术、多媒体技术、信息与计算机科学、计算机应用技术、多媒体制作、图形图像制作、软件工程、计算机网络、计算机科学与技术、计算机及应用、计算机与信息管理、计算机信息管理、计算机信息应用、计算机软件与理论</w:t>
            </w:r>
          </w:p>
          <w:p>
            <w:pP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highlight w:val="none"/>
              </w:rPr>
              <w:t>硕士研究生：计算机系统结构、计算机软件与理论、计算机应用技术、计算机科学与技术、软件工程、计算机与信息管理、计算机技术、应用软件工程</w:t>
            </w:r>
          </w:p>
        </w:tc>
        <w:tc>
          <w:tcPr>
            <w:tcW w:w="650" w:type="dxa"/>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highlight w:val="none"/>
              </w:rPr>
              <w:t>高级及以上</w:t>
            </w:r>
          </w:p>
        </w:tc>
        <w:tc>
          <w:tcPr>
            <w:tcW w:w="1000" w:type="dxa"/>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highlight w:val="none"/>
              </w:rPr>
              <w:t>全日制本科</w:t>
            </w:r>
          </w:p>
        </w:tc>
        <w:tc>
          <w:tcPr>
            <w:tcW w:w="3300" w:type="dxa"/>
            <w:vMerge w:val="restart"/>
            <w:vAlign w:val="center"/>
          </w:tcPr>
          <w:p>
            <w:pP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highlight w:val="none"/>
              </w:rPr>
              <w:t>1．</w:t>
            </w:r>
            <w:r>
              <w:rPr>
                <w:rFonts w:hint="eastAsia" w:ascii="仿宋" w:hAnsi="仿宋" w:eastAsia="仿宋" w:cs="仿宋"/>
                <w:b/>
                <w:bCs w:val="0"/>
                <w:sz w:val="21"/>
                <w:szCs w:val="21"/>
                <w:highlight w:val="none"/>
                <w:lang w:eastAsia="zh-CN"/>
              </w:rPr>
              <w:t>应届硕士研究生或</w:t>
            </w:r>
            <w:r>
              <w:rPr>
                <w:rFonts w:hint="eastAsia" w:ascii="仿宋" w:hAnsi="仿宋" w:eastAsia="仿宋" w:cs="仿宋"/>
                <w:b/>
                <w:bCs w:val="0"/>
                <w:sz w:val="21"/>
                <w:szCs w:val="21"/>
                <w:highlight w:val="none"/>
              </w:rPr>
              <w:t>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center"/>
          </w:tcPr>
          <w:p>
            <w:pPr>
              <w:jc w:val="center"/>
              <w:rPr>
                <w:rFonts w:hint="eastAsia" w:ascii="仿宋" w:hAnsi="仿宋" w:eastAsia="仿宋" w:cs="仿宋"/>
                <w:b/>
                <w:bCs w:val="0"/>
                <w:color w:val="333333"/>
                <w:kern w:val="0"/>
                <w:sz w:val="21"/>
                <w:szCs w:val="21"/>
                <w:highlight w:val="none"/>
                <w:vertAlign w:val="baseline"/>
                <w:lang w:val="en-US" w:eastAsia="zh-CN"/>
              </w:rPr>
            </w:pPr>
            <w:r>
              <w:rPr>
                <w:rFonts w:hint="eastAsia" w:ascii="仿宋" w:hAnsi="仿宋" w:eastAsia="仿宋" w:cs="仿宋"/>
                <w:b/>
                <w:bCs w:val="0"/>
                <w:sz w:val="21"/>
                <w:szCs w:val="21"/>
                <w:highlight w:val="none"/>
                <w:lang w:val="en-US" w:eastAsia="zh-CN"/>
              </w:rPr>
              <w:t>4人</w:t>
            </w:r>
          </w:p>
        </w:tc>
        <w:tc>
          <w:tcPr>
            <w:tcW w:w="1506" w:type="dxa"/>
            <w:vMerge w:val="restart"/>
            <w:vAlign w:val="center"/>
          </w:tcPr>
          <w:p>
            <w:pPr>
              <w:spacing w:line="400" w:lineRule="exact"/>
              <w:jc w:val="center"/>
              <w:rPr>
                <w:rFonts w:hint="eastAsia" w:ascii="仿宋" w:hAnsi="仿宋" w:eastAsia="仿宋" w:cs="仿宋"/>
                <w:b/>
                <w:bCs w:val="0"/>
                <w:sz w:val="21"/>
                <w:szCs w:val="21"/>
                <w:highlight w:val="none"/>
              </w:rPr>
            </w:pPr>
            <w:r>
              <w:rPr>
                <w:rFonts w:hint="eastAsia" w:ascii="仿宋" w:hAnsi="仿宋" w:eastAsia="仿宋" w:cs="仿宋"/>
                <w:b/>
                <w:bCs w:val="0"/>
                <w:sz w:val="21"/>
                <w:szCs w:val="21"/>
                <w:highlight w:val="none"/>
              </w:rPr>
              <w:t>编制内</w:t>
            </w:r>
          </w:p>
          <w:p>
            <w:pPr>
              <w:jc w:val="center"/>
              <w:rPr>
                <w:rFonts w:hint="eastAsia" w:ascii="仿宋" w:hAnsi="仿宋" w:eastAsia="仿宋" w:cs="仿宋"/>
                <w:b/>
                <w:bCs w:val="0"/>
                <w:sz w:val="21"/>
                <w:szCs w:val="21"/>
                <w:highlight w:val="none"/>
                <w:lang w:val="en-US" w:eastAsia="zh-CN"/>
              </w:rPr>
            </w:pPr>
            <w:r>
              <w:rPr>
                <w:rFonts w:hint="eastAsia" w:ascii="仿宋" w:hAnsi="仿宋" w:eastAsia="仿宋" w:cs="仿宋"/>
                <w:b/>
                <w:bCs w:val="0"/>
                <w:sz w:val="21"/>
                <w:szCs w:val="21"/>
                <w:highlight w:val="none"/>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8"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1</w:t>
            </w:r>
            <w:r>
              <w:rPr>
                <w:rFonts w:hint="eastAsia" w:ascii="仿宋" w:hAnsi="仿宋" w:eastAsia="仿宋" w:cs="仿宋"/>
                <w:b/>
                <w:bCs w:val="0"/>
                <w:sz w:val="21"/>
                <w:szCs w:val="21"/>
                <w:highlight w:val="none"/>
                <w:lang w:val="en-US" w:eastAsia="zh-CN"/>
              </w:rPr>
              <w:t>4</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物理实验员</w:t>
            </w:r>
          </w:p>
        </w:tc>
        <w:tc>
          <w:tcPr>
            <w:tcW w:w="3583" w:type="dxa"/>
            <w:vMerge w:val="restart"/>
            <w:vAlign w:val="center"/>
          </w:tcPr>
          <w:p>
            <w:pPr>
              <w:rPr>
                <w:rFonts w:hint="eastAsia" w:ascii="仿宋" w:hAnsi="仿宋" w:eastAsia="仿宋" w:cs="仿宋"/>
                <w:b/>
                <w:bCs w:val="0"/>
                <w:sz w:val="21"/>
                <w:szCs w:val="21"/>
                <w:highlight w:val="none"/>
              </w:rPr>
            </w:pPr>
            <w:r>
              <w:rPr>
                <w:rFonts w:hint="eastAsia" w:ascii="仿宋" w:hAnsi="仿宋" w:eastAsia="仿宋" w:cs="仿宋"/>
                <w:b/>
                <w:bCs w:val="0"/>
                <w:sz w:val="21"/>
                <w:szCs w:val="21"/>
                <w:highlight w:val="none"/>
              </w:rPr>
              <w:t>本科：物理学、应用物理学、声学、光学、光学工程、物理学教育</w:t>
            </w:r>
          </w:p>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硕士研究生：学科教学（物理）、课程与教学论（物理方向）、理论物理、粒子物理与原子核物理、原子与分子物理、等离子体物理、凝聚态物理、声学、光学、光学工程、无线电物理</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vertAlign w:val="baseline"/>
              </w:rPr>
              <w:t>高级及以上</w:t>
            </w: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vertAlign w:val="baseline"/>
              </w:rPr>
              <w:t>全日制本科</w:t>
            </w:r>
          </w:p>
        </w:tc>
        <w:tc>
          <w:tcPr>
            <w:tcW w:w="3300" w:type="dxa"/>
            <w:vMerge w:val="restart"/>
            <w:vAlign w:val="center"/>
          </w:tcPr>
          <w:p>
            <w:pP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应届硕士研究生或具有初级职称的硕士研究生年龄不超过30周岁；具有中级职称的硕士研究生或具有本科及以上学历且取得副高及以上职称的年龄不超过40周岁。</w:t>
            </w:r>
          </w:p>
        </w:tc>
        <w:tc>
          <w:tcPr>
            <w:tcW w:w="121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lang w:val="en-US" w:eastAsia="zh-CN"/>
              </w:rPr>
              <w:t>2</w:t>
            </w:r>
            <w:r>
              <w:rPr>
                <w:rFonts w:hint="eastAsia" w:ascii="仿宋" w:hAnsi="仿宋" w:eastAsia="仿宋" w:cs="仿宋"/>
                <w:b/>
                <w:bCs w:val="0"/>
                <w:sz w:val="21"/>
                <w:szCs w:val="21"/>
                <w:highlight w:val="none"/>
                <w:lang w:eastAsia="zh-CN"/>
              </w:rPr>
              <w:t>人</w:t>
            </w:r>
          </w:p>
        </w:tc>
        <w:tc>
          <w:tcPr>
            <w:tcW w:w="1506" w:type="dxa"/>
            <w:vMerge w:val="restart"/>
            <w:vAlign w:val="center"/>
          </w:tcPr>
          <w:p>
            <w:pPr>
              <w:spacing w:line="400" w:lineRule="exact"/>
              <w:jc w:val="center"/>
              <w:rPr>
                <w:rFonts w:hint="eastAsia" w:ascii="仿宋" w:hAnsi="仿宋" w:eastAsia="仿宋" w:cs="仿宋"/>
                <w:b/>
                <w:bCs w:val="0"/>
                <w:sz w:val="21"/>
                <w:szCs w:val="21"/>
                <w:highlight w:val="none"/>
              </w:rPr>
            </w:pPr>
            <w:r>
              <w:rPr>
                <w:rFonts w:hint="eastAsia" w:ascii="仿宋" w:hAnsi="仿宋" w:eastAsia="仿宋" w:cs="仿宋"/>
                <w:b/>
                <w:bCs w:val="0"/>
                <w:sz w:val="21"/>
                <w:szCs w:val="21"/>
                <w:highlight w:val="none"/>
              </w:rPr>
              <w:t>编制内</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3"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trPr>
        <w:tc>
          <w:tcPr>
            <w:tcW w:w="625" w:type="dxa"/>
            <w:vMerge w:val="restart"/>
            <w:vAlign w:val="center"/>
          </w:tcPr>
          <w:p>
            <w:pPr>
              <w:jc w:val="center"/>
              <w:rPr>
                <w:rFonts w:hint="eastAsia" w:ascii="仿宋" w:hAnsi="仿宋" w:eastAsia="仿宋" w:cs="仿宋"/>
                <w:b/>
                <w:bCs w:val="0"/>
                <w:sz w:val="21"/>
                <w:szCs w:val="21"/>
                <w:highlight w:val="none"/>
                <w:lang w:val="en-US" w:eastAsia="zh-CN"/>
              </w:rPr>
            </w:pPr>
            <w:r>
              <w:rPr>
                <w:rFonts w:hint="eastAsia" w:ascii="仿宋" w:hAnsi="仿宋" w:eastAsia="仿宋" w:cs="仿宋"/>
                <w:b/>
                <w:bCs w:val="0"/>
                <w:sz w:val="21"/>
                <w:szCs w:val="21"/>
                <w:highlight w:val="none"/>
              </w:rPr>
              <w:t>1</w:t>
            </w:r>
            <w:r>
              <w:rPr>
                <w:rFonts w:hint="eastAsia" w:ascii="仿宋" w:hAnsi="仿宋" w:eastAsia="仿宋" w:cs="仿宋"/>
                <w:b/>
                <w:bCs w:val="0"/>
                <w:sz w:val="21"/>
                <w:szCs w:val="21"/>
                <w:highlight w:val="none"/>
                <w:lang w:val="en-US" w:eastAsia="zh-CN"/>
              </w:rPr>
              <w:t>5</w:t>
            </w:r>
          </w:p>
        </w:tc>
        <w:tc>
          <w:tcPr>
            <w:tcW w:w="767" w:type="dxa"/>
            <w:vMerge w:val="restart"/>
            <w:vAlign w:val="center"/>
          </w:tcPr>
          <w:p>
            <w:pPr>
              <w:jc w:val="center"/>
              <w:rPr>
                <w:rFonts w:hint="eastAsia" w:ascii="仿宋" w:hAnsi="仿宋" w:eastAsia="仿宋" w:cs="仿宋"/>
                <w:b/>
                <w:bCs w:val="0"/>
                <w:sz w:val="21"/>
                <w:szCs w:val="21"/>
                <w:highlight w:val="none"/>
                <w:lang w:val="en-US" w:eastAsia="zh-CN"/>
              </w:rPr>
            </w:pPr>
            <w:r>
              <w:rPr>
                <w:rFonts w:hint="eastAsia" w:ascii="仿宋" w:hAnsi="仿宋" w:eastAsia="仿宋" w:cs="仿宋"/>
                <w:b/>
                <w:bCs w:val="0"/>
                <w:sz w:val="21"/>
                <w:szCs w:val="21"/>
                <w:highlight w:val="none"/>
              </w:rPr>
              <w:t>化学实验员</w:t>
            </w:r>
          </w:p>
        </w:tc>
        <w:tc>
          <w:tcPr>
            <w:tcW w:w="3583" w:type="dxa"/>
            <w:vMerge w:val="restart"/>
            <w:vAlign w:val="center"/>
          </w:tcPr>
          <w:p>
            <w:pPr>
              <w:rPr>
                <w:rFonts w:hint="eastAsia" w:ascii="仿宋" w:hAnsi="仿宋" w:eastAsia="仿宋" w:cs="仿宋"/>
                <w:b/>
                <w:bCs w:val="0"/>
                <w:sz w:val="21"/>
                <w:szCs w:val="21"/>
                <w:highlight w:val="none"/>
              </w:rPr>
            </w:pPr>
            <w:r>
              <w:rPr>
                <w:rFonts w:hint="eastAsia" w:ascii="仿宋" w:hAnsi="仿宋" w:eastAsia="仿宋" w:cs="仿宋"/>
                <w:b/>
                <w:bCs w:val="0"/>
                <w:sz w:val="21"/>
                <w:szCs w:val="21"/>
                <w:highlight w:val="none"/>
              </w:rPr>
              <w:t>本科：化学、应用化学、化学生物学、分子科学与工程、能源化学、化学教育、放射化学</w:t>
            </w:r>
          </w:p>
          <w:p>
            <w:pPr>
              <w:rPr>
                <w:rFonts w:hint="eastAsia" w:ascii="仿宋" w:hAnsi="仿宋" w:eastAsia="仿宋" w:cs="仿宋"/>
                <w:b/>
                <w:bCs w:val="0"/>
                <w:sz w:val="21"/>
                <w:szCs w:val="21"/>
                <w:highlight w:val="none"/>
                <w:lang w:val="en-US" w:eastAsia="zh-CN"/>
              </w:rPr>
            </w:pPr>
            <w:r>
              <w:rPr>
                <w:rFonts w:hint="eastAsia" w:ascii="仿宋" w:hAnsi="仿宋" w:eastAsia="仿宋" w:cs="仿宋"/>
                <w:b/>
                <w:bCs w:val="0"/>
                <w:sz w:val="21"/>
                <w:szCs w:val="21"/>
                <w:highlight w:val="none"/>
              </w:rPr>
              <w:t>硕士研究生：学科教学（化学）、课程与教学论（化学方向）、化学、无机化学、分析化学，有机化学、物理化学、高分子化学与物理、材料化学、化学生物学、环境化学、材料物流与化学、放射化学、化学信息</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vertAlign w:val="baseline"/>
              </w:rPr>
              <w:t>高级及以上</w:t>
            </w:r>
          </w:p>
        </w:tc>
        <w:tc>
          <w:tcPr>
            <w:tcW w:w="1000" w:type="dxa"/>
            <w:vAlign w:val="center"/>
          </w:tcPr>
          <w:p>
            <w:pPr>
              <w:jc w:val="center"/>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highlight w:val="none"/>
                <w:vertAlign w:val="baseline"/>
              </w:rPr>
              <w:t>全日制本科</w:t>
            </w:r>
          </w:p>
        </w:tc>
        <w:tc>
          <w:tcPr>
            <w:tcW w:w="3300" w:type="dxa"/>
            <w:vMerge w:val="restart"/>
            <w:vAlign w:val="center"/>
          </w:tcPr>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应届硕士研究生或具有初级职称的硕士研究生年龄不超过30周岁；具有中级职称的硕士研究生或具有本科及以上学历且取得副高及以上职称的年龄不超过40周岁。</w:t>
            </w:r>
          </w:p>
        </w:tc>
        <w:tc>
          <w:tcPr>
            <w:tcW w:w="121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lang w:val="en-US" w:eastAsia="zh-CN"/>
              </w:rPr>
              <w:t>1</w:t>
            </w:r>
            <w:r>
              <w:rPr>
                <w:rFonts w:hint="eastAsia" w:ascii="仿宋" w:hAnsi="仿宋" w:eastAsia="仿宋" w:cs="仿宋"/>
                <w:b/>
                <w:bCs w:val="0"/>
                <w:sz w:val="21"/>
                <w:szCs w:val="21"/>
                <w:highlight w:val="none"/>
                <w:lang w:eastAsia="zh-CN"/>
              </w:rPr>
              <w:t>人</w:t>
            </w:r>
          </w:p>
        </w:tc>
        <w:tc>
          <w:tcPr>
            <w:tcW w:w="1506" w:type="dxa"/>
            <w:vMerge w:val="restart"/>
            <w:vAlign w:val="center"/>
          </w:tcPr>
          <w:p>
            <w:pPr>
              <w:spacing w:line="400" w:lineRule="exact"/>
              <w:jc w:val="center"/>
              <w:rPr>
                <w:rFonts w:hint="eastAsia" w:ascii="仿宋" w:hAnsi="仿宋" w:eastAsia="仿宋" w:cs="仿宋"/>
                <w:b/>
                <w:bCs w:val="0"/>
                <w:sz w:val="21"/>
                <w:szCs w:val="21"/>
                <w:highlight w:val="none"/>
              </w:rPr>
            </w:pPr>
            <w:r>
              <w:rPr>
                <w:rFonts w:hint="eastAsia" w:ascii="仿宋" w:hAnsi="仿宋" w:eastAsia="仿宋" w:cs="仿宋"/>
                <w:b/>
                <w:bCs w:val="0"/>
                <w:sz w:val="21"/>
                <w:szCs w:val="21"/>
                <w:highlight w:val="none"/>
              </w:rPr>
              <w:t>编制内</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3" w:hRule="atLeast"/>
        </w:trPr>
        <w:tc>
          <w:tcPr>
            <w:tcW w:w="625" w:type="dxa"/>
            <w:vMerge w:val="restart"/>
            <w:vAlign w:val="center"/>
          </w:tcPr>
          <w:p>
            <w:pPr>
              <w:jc w:val="center"/>
              <w:rPr>
                <w:rFonts w:hint="eastAsia" w:ascii="仿宋" w:hAnsi="仿宋" w:eastAsia="仿宋" w:cs="仿宋"/>
                <w:b/>
                <w:bCs w:val="0"/>
                <w:sz w:val="21"/>
                <w:szCs w:val="21"/>
                <w:vertAlign w:val="baseline"/>
                <w:lang w:val="en-US" w:eastAsia="zh-CN"/>
              </w:rPr>
            </w:pPr>
            <w:r>
              <w:rPr>
                <w:rFonts w:hint="eastAsia" w:ascii="仿宋" w:hAnsi="仿宋" w:eastAsia="仿宋" w:cs="仿宋"/>
                <w:b/>
                <w:bCs w:val="0"/>
                <w:sz w:val="21"/>
                <w:szCs w:val="21"/>
                <w:vertAlign w:val="baseline"/>
                <w:lang w:eastAsia="zh-CN"/>
              </w:rPr>
              <w:t>1</w:t>
            </w:r>
            <w:r>
              <w:rPr>
                <w:rFonts w:hint="eastAsia" w:ascii="仿宋" w:hAnsi="仿宋" w:eastAsia="仿宋" w:cs="仿宋"/>
                <w:b/>
                <w:bCs w:val="0"/>
                <w:sz w:val="21"/>
                <w:szCs w:val="21"/>
                <w:vertAlign w:val="baseline"/>
                <w:lang w:val="en-US" w:eastAsia="zh-CN"/>
              </w:rPr>
              <w:t>6</w:t>
            </w:r>
          </w:p>
        </w:tc>
        <w:tc>
          <w:tcPr>
            <w:tcW w:w="767" w:type="dxa"/>
            <w:vMerge w:val="restart"/>
            <w:vAlign w:val="center"/>
          </w:tcPr>
          <w:p>
            <w:pPr>
              <w:jc w:val="center"/>
              <w:rPr>
                <w:rFonts w:hint="eastAsia" w:ascii="仿宋" w:hAnsi="仿宋" w:eastAsia="仿宋" w:cs="仿宋"/>
                <w:b/>
                <w:bCs w:val="0"/>
                <w:sz w:val="21"/>
                <w:szCs w:val="21"/>
                <w:vertAlign w:val="baseline"/>
                <w:lang w:val="en-US" w:eastAsia="zh-CN"/>
              </w:rPr>
            </w:pPr>
            <w:r>
              <w:rPr>
                <w:rFonts w:hint="eastAsia" w:ascii="仿宋" w:hAnsi="仿宋" w:eastAsia="仿宋" w:cs="仿宋"/>
                <w:b/>
                <w:bCs w:val="0"/>
                <w:sz w:val="21"/>
                <w:szCs w:val="21"/>
                <w:vertAlign w:val="baseline"/>
                <w:lang w:eastAsia="zh-CN"/>
              </w:rPr>
              <w:t>生物实验员</w:t>
            </w:r>
          </w:p>
        </w:tc>
        <w:tc>
          <w:tcPr>
            <w:tcW w:w="3583" w:type="dxa"/>
            <w:vMerge w:val="restart"/>
            <w:vAlign w:val="center"/>
          </w:tcPr>
          <w:p>
            <w:pPr>
              <w:jc w:val="left"/>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vertAlign w:val="baseline"/>
                <w:lang w:eastAsia="zh-CN"/>
              </w:rPr>
              <w:t>本科：生物科学、生物技术、生物信息学、生物信息技术、生物科学与生物技术、生物化学与分子生物学、植物生物技术、动物生物技术、生物工程、生态学</w:t>
            </w:r>
          </w:p>
          <w:p>
            <w:pPr>
              <w:jc w:val="left"/>
              <w:rPr>
                <w:rFonts w:hint="eastAsia" w:ascii="仿宋" w:hAnsi="仿宋" w:eastAsia="仿宋" w:cs="仿宋"/>
                <w:b/>
                <w:bCs w:val="0"/>
                <w:sz w:val="21"/>
                <w:szCs w:val="21"/>
                <w:vertAlign w:val="baseline"/>
                <w:lang w:val="en-US" w:eastAsia="zh-CN"/>
              </w:rPr>
            </w:pPr>
            <w:r>
              <w:rPr>
                <w:rFonts w:hint="eastAsia" w:ascii="仿宋" w:hAnsi="仿宋" w:eastAsia="仿宋" w:cs="仿宋"/>
                <w:b/>
                <w:bCs w:val="0"/>
                <w:sz w:val="21"/>
                <w:szCs w:val="21"/>
                <w:vertAlign w:val="baseline"/>
                <w:lang w:eastAsia="zh-CN"/>
              </w:rPr>
              <w:t>硕士研究生：学科教学（生物）、课程与教学论（生物方向）、植物学、动物学、水生生物学、微生物学、遗传学、发育生物学、细胞生物学、生物化学与分子生物学、生物物理学、生态学、生物学</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vertAlign w:val="baseline"/>
              </w:rPr>
              <w:t>高级及以上</w:t>
            </w:r>
          </w:p>
        </w:tc>
        <w:tc>
          <w:tcPr>
            <w:tcW w:w="1000" w:type="dxa"/>
            <w:vAlign w:val="center"/>
          </w:tcPr>
          <w:p>
            <w:pPr>
              <w:jc w:val="center"/>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highlight w:val="none"/>
                <w:vertAlign w:val="baseline"/>
              </w:rPr>
              <w:t>全日制本科</w:t>
            </w:r>
          </w:p>
        </w:tc>
        <w:tc>
          <w:tcPr>
            <w:tcW w:w="3300" w:type="dxa"/>
            <w:vMerge w:val="restart"/>
            <w:vAlign w:val="center"/>
          </w:tcPr>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应届硕士研究生或具有初级职称的硕士研究生年龄不超过30周岁；具有中级职称的硕士研究生或具有本科及以上学历且取得副高及以上职称的年龄不超过40周岁。</w:t>
            </w:r>
          </w:p>
        </w:tc>
        <w:tc>
          <w:tcPr>
            <w:tcW w:w="121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lang w:val="en-US" w:eastAsia="zh-CN"/>
              </w:rPr>
              <w:t>1</w:t>
            </w:r>
            <w:r>
              <w:rPr>
                <w:rFonts w:hint="eastAsia" w:ascii="仿宋" w:hAnsi="仿宋" w:eastAsia="仿宋" w:cs="仿宋"/>
                <w:b/>
                <w:bCs w:val="0"/>
                <w:sz w:val="21"/>
                <w:szCs w:val="21"/>
                <w:highlight w:val="none"/>
                <w:lang w:eastAsia="zh-CN"/>
              </w:rPr>
              <w:t>人</w:t>
            </w:r>
          </w:p>
        </w:tc>
        <w:tc>
          <w:tcPr>
            <w:tcW w:w="1506" w:type="dxa"/>
            <w:vMerge w:val="restart"/>
            <w:vAlign w:val="center"/>
          </w:tcPr>
          <w:p>
            <w:pPr>
              <w:spacing w:line="400" w:lineRule="exact"/>
              <w:jc w:val="center"/>
              <w:rPr>
                <w:rFonts w:hint="eastAsia" w:ascii="仿宋" w:hAnsi="仿宋" w:eastAsia="仿宋" w:cs="仿宋"/>
                <w:b/>
                <w:bCs w:val="0"/>
                <w:sz w:val="21"/>
                <w:szCs w:val="21"/>
                <w:highlight w:val="none"/>
              </w:rPr>
            </w:pPr>
            <w:r>
              <w:rPr>
                <w:rFonts w:hint="eastAsia" w:ascii="仿宋" w:hAnsi="仿宋" w:eastAsia="仿宋" w:cs="仿宋"/>
                <w:b/>
                <w:bCs w:val="0"/>
                <w:sz w:val="21"/>
                <w:szCs w:val="21"/>
                <w:highlight w:val="none"/>
              </w:rPr>
              <w:t>编制内</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6" w:hRule="atLeast"/>
        </w:trPr>
        <w:tc>
          <w:tcPr>
            <w:tcW w:w="625" w:type="dxa"/>
            <w:vMerge w:val="restart"/>
            <w:vAlign w:val="center"/>
          </w:tcPr>
          <w:p>
            <w:pPr>
              <w:jc w:val="center"/>
              <w:rPr>
                <w:rFonts w:hint="eastAsia" w:ascii="仿宋" w:hAnsi="仿宋" w:eastAsia="仿宋" w:cs="仿宋"/>
                <w:b/>
                <w:bCs w:val="0"/>
                <w:sz w:val="21"/>
                <w:szCs w:val="21"/>
                <w:vertAlign w:val="baseline"/>
                <w:lang w:val="en-US" w:eastAsia="zh-CN"/>
              </w:rPr>
            </w:pPr>
            <w:r>
              <w:rPr>
                <w:rFonts w:hint="eastAsia" w:ascii="仿宋" w:hAnsi="仿宋" w:eastAsia="仿宋" w:cs="仿宋"/>
                <w:b/>
                <w:bCs w:val="0"/>
                <w:sz w:val="21"/>
                <w:szCs w:val="21"/>
                <w:vertAlign w:val="baseline"/>
                <w:lang w:eastAsia="zh-CN"/>
              </w:rPr>
              <w:t>1</w:t>
            </w:r>
            <w:r>
              <w:rPr>
                <w:rFonts w:hint="eastAsia" w:ascii="仿宋" w:hAnsi="仿宋" w:eastAsia="仿宋" w:cs="仿宋"/>
                <w:b/>
                <w:bCs w:val="0"/>
                <w:sz w:val="21"/>
                <w:szCs w:val="21"/>
                <w:vertAlign w:val="baseline"/>
                <w:lang w:val="en-US" w:eastAsia="zh-CN"/>
              </w:rPr>
              <w:t>7</w:t>
            </w:r>
          </w:p>
        </w:tc>
        <w:tc>
          <w:tcPr>
            <w:tcW w:w="767" w:type="dxa"/>
            <w:vMerge w:val="restart"/>
            <w:vAlign w:val="center"/>
          </w:tcPr>
          <w:p>
            <w:pPr>
              <w:jc w:val="center"/>
              <w:rPr>
                <w:rFonts w:hint="eastAsia" w:ascii="仿宋" w:hAnsi="仿宋" w:eastAsia="仿宋" w:cs="仿宋"/>
                <w:b/>
                <w:bCs w:val="0"/>
                <w:sz w:val="21"/>
                <w:szCs w:val="21"/>
                <w:vertAlign w:val="baseline"/>
                <w:lang w:val="en-US" w:eastAsia="zh-CN"/>
              </w:rPr>
            </w:pPr>
            <w:r>
              <w:rPr>
                <w:rFonts w:hint="eastAsia" w:ascii="仿宋" w:hAnsi="仿宋" w:eastAsia="仿宋" w:cs="仿宋"/>
                <w:b/>
                <w:bCs w:val="0"/>
                <w:sz w:val="21"/>
                <w:szCs w:val="21"/>
                <w:vertAlign w:val="baseline"/>
                <w:lang w:eastAsia="zh-CN"/>
              </w:rPr>
              <w:t>音乐教师</w:t>
            </w:r>
          </w:p>
        </w:tc>
        <w:tc>
          <w:tcPr>
            <w:tcW w:w="3583" w:type="dxa"/>
            <w:vMerge w:val="restart"/>
            <w:vAlign w:val="center"/>
          </w:tcPr>
          <w:p>
            <w:pPr>
              <w:jc w:val="left"/>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vertAlign w:val="baseline"/>
                <w:lang w:eastAsia="zh-CN"/>
              </w:rPr>
              <w:t>本科：音乐学、作曲与作曲技术理论、音乐表演、舞蹈学、舞蹈表演、舞蹈编导、音乐科技与艺术、指挥、舞蹈教育</w:t>
            </w:r>
          </w:p>
          <w:p>
            <w:pPr>
              <w:jc w:val="left"/>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vertAlign w:val="baseline"/>
                <w:lang w:eastAsia="zh-CN"/>
              </w:rPr>
              <w:t>硕士研究生：学科教学（音乐）、课程与教学论（音乐方向）音乐学、舞蹈学、音乐与舞蹈学、 艺术硕士（音乐、舞蹈）</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vertAlign w:val="baseline"/>
              </w:rPr>
              <w:t>高级及以上</w:t>
            </w:r>
          </w:p>
        </w:tc>
        <w:tc>
          <w:tcPr>
            <w:tcW w:w="1000" w:type="dxa"/>
            <w:vAlign w:val="center"/>
          </w:tcPr>
          <w:p>
            <w:pPr>
              <w:jc w:val="center"/>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highlight w:val="none"/>
                <w:vertAlign w:val="baseline"/>
              </w:rPr>
              <w:t>全日制本科</w:t>
            </w:r>
          </w:p>
        </w:tc>
        <w:tc>
          <w:tcPr>
            <w:tcW w:w="3300" w:type="dxa"/>
            <w:vMerge w:val="restart"/>
            <w:vAlign w:val="top"/>
          </w:tcPr>
          <w:p>
            <w:pPr>
              <w:spacing w:line="400" w:lineRule="exact"/>
              <w:jc w:val="both"/>
              <w:rPr>
                <w:rFonts w:hint="eastAsia" w:ascii="仿宋" w:hAnsi="仿宋" w:eastAsia="仿宋" w:cs="仿宋"/>
                <w:b/>
                <w:bCs w:val="0"/>
                <w:sz w:val="21"/>
                <w:szCs w:val="21"/>
                <w:highlight w:val="none"/>
              </w:rPr>
            </w:pPr>
          </w:p>
          <w:p>
            <w:pPr>
              <w:spacing w:line="400" w:lineRule="exact"/>
              <w:jc w:val="both"/>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highlight w:val="none"/>
              </w:rPr>
              <w:t>1．应届硕士研究生或具有二级教师职称的硕士研究生年龄不超过30周岁；具有一级教师职称的硕士研究生或具有本科及以上学历且取得副高及以上教师职称的年龄不超过40周岁；2．硕士研究生在本科阶段所学专业须与此次招录的本科专业一致；3．需取得对应岗位要求的初、高级中学教师资格证。</w:t>
            </w:r>
          </w:p>
        </w:tc>
        <w:tc>
          <w:tcPr>
            <w:tcW w:w="1217" w:type="dxa"/>
            <w:vMerge w:val="restart"/>
            <w:vAlign w:val="top"/>
          </w:tcPr>
          <w:p>
            <w:pPr>
              <w:widowControl/>
              <w:spacing w:line="300" w:lineRule="exact"/>
              <w:jc w:val="center"/>
              <w:rPr>
                <w:rFonts w:hint="eastAsia" w:ascii="仿宋" w:hAnsi="仿宋" w:eastAsia="仿宋" w:cs="仿宋"/>
                <w:b/>
                <w:bCs w:val="0"/>
                <w:sz w:val="21"/>
                <w:szCs w:val="21"/>
                <w:lang w:eastAsia="zh-CN"/>
              </w:rPr>
            </w:pPr>
          </w:p>
          <w:p>
            <w:pPr>
              <w:widowControl/>
              <w:spacing w:line="300" w:lineRule="exact"/>
              <w:jc w:val="both"/>
              <w:rPr>
                <w:rFonts w:hint="eastAsia" w:ascii="仿宋" w:hAnsi="仿宋" w:eastAsia="仿宋" w:cs="仿宋"/>
                <w:b/>
                <w:bCs w:val="0"/>
                <w:sz w:val="21"/>
                <w:szCs w:val="21"/>
                <w:lang w:eastAsia="zh-CN"/>
              </w:rPr>
            </w:pP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p>
          <w:p>
            <w:pPr>
              <w:jc w:val="center"/>
              <w:rPr>
                <w:rFonts w:hint="eastAsia" w:ascii="仿宋" w:hAnsi="仿宋" w:eastAsia="仿宋" w:cs="仿宋"/>
                <w:b/>
                <w:bCs w:val="0"/>
                <w:sz w:val="21"/>
                <w:szCs w:val="21"/>
                <w:lang w:val="en-US" w:eastAsia="zh-CN"/>
              </w:rPr>
            </w:pPr>
            <w:r>
              <w:rPr>
                <w:rFonts w:hint="eastAsia" w:ascii="仿宋" w:hAnsi="仿宋" w:eastAsia="仿宋" w:cs="仿宋"/>
                <w:b/>
                <w:bCs w:val="0"/>
                <w:sz w:val="21"/>
                <w:szCs w:val="21"/>
                <w:lang w:val="en-US" w:eastAsia="zh-CN"/>
              </w:rPr>
              <w:t>高中音乐</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val="en-US" w:eastAsia="zh-CN"/>
              </w:rPr>
              <w:t>教师1人；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4" w:hRule="atLeast"/>
        </w:trPr>
        <w:tc>
          <w:tcPr>
            <w:tcW w:w="625" w:type="dxa"/>
            <w:vMerge w:val="continue"/>
            <w:vAlign w:val="center"/>
          </w:tcPr>
          <w:p>
            <w:pPr>
              <w:spacing w:line="400" w:lineRule="exact"/>
              <w:jc w:val="center"/>
              <w:rPr>
                <w:rFonts w:hint="eastAsia" w:ascii="仿宋" w:hAnsi="仿宋" w:eastAsia="仿宋" w:cs="仿宋"/>
                <w:b/>
                <w:bCs w:val="0"/>
                <w:color w:val="333333"/>
                <w:kern w:val="0"/>
                <w:sz w:val="21"/>
                <w:szCs w:val="21"/>
                <w:vertAlign w:val="baseline"/>
                <w:lang w:val="en-US" w:eastAsia="zh-CN"/>
              </w:rPr>
            </w:pPr>
          </w:p>
        </w:tc>
        <w:tc>
          <w:tcPr>
            <w:tcW w:w="76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3583"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p>
        </w:tc>
        <w:tc>
          <w:tcPr>
            <w:tcW w:w="1000" w:type="dxa"/>
            <w:vAlign w:val="center"/>
          </w:tcPr>
          <w:p>
            <w:pPr>
              <w:jc w:val="center"/>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217"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06"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c>
          <w:tcPr>
            <w:tcW w:w="1582" w:type="dxa"/>
            <w:vMerge w:val="continue"/>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2" w:hRule="atLeast"/>
        </w:trPr>
        <w:tc>
          <w:tcPr>
            <w:tcW w:w="625"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1</w:t>
            </w:r>
            <w:r>
              <w:rPr>
                <w:rFonts w:hint="eastAsia" w:ascii="仿宋" w:hAnsi="仿宋" w:eastAsia="仿宋" w:cs="仿宋"/>
                <w:b/>
                <w:bCs w:val="0"/>
                <w:sz w:val="21"/>
                <w:szCs w:val="21"/>
                <w:lang w:val="en-US" w:eastAsia="zh-CN"/>
              </w:rPr>
              <w:t>8</w:t>
            </w:r>
          </w:p>
        </w:tc>
        <w:tc>
          <w:tcPr>
            <w:tcW w:w="76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劳动技术指导员</w:t>
            </w:r>
          </w:p>
        </w:tc>
        <w:tc>
          <w:tcPr>
            <w:tcW w:w="3583"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不限</w:t>
            </w:r>
          </w:p>
        </w:tc>
        <w:tc>
          <w:tcPr>
            <w:tcW w:w="650" w:type="dxa"/>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vertAlign w:val="baseline"/>
                <w:lang w:eastAsia="zh-CN"/>
              </w:rPr>
              <w:t>高级及以上</w:t>
            </w:r>
          </w:p>
        </w:tc>
        <w:tc>
          <w:tcPr>
            <w:tcW w:w="1000" w:type="dxa"/>
            <w:vAlign w:val="center"/>
          </w:tcPr>
          <w:p>
            <w:pPr>
              <w:jc w:val="center"/>
              <w:rPr>
                <w:rFonts w:hint="eastAsia" w:ascii="仿宋" w:hAnsi="仿宋" w:eastAsia="仿宋" w:cs="仿宋"/>
                <w:b/>
                <w:bCs w:val="0"/>
                <w:sz w:val="21"/>
                <w:szCs w:val="21"/>
                <w:vertAlign w:val="baseline"/>
                <w:lang w:eastAsia="zh-CN"/>
              </w:rPr>
            </w:pPr>
            <w:r>
              <w:rPr>
                <w:rFonts w:hint="eastAsia" w:ascii="仿宋" w:hAnsi="仿宋" w:eastAsia="仿宋" w:cs="仿宋"/>
                <w:b/>
                <w:bCs w:val="0"/>
                <w:sz w:val="21"/>
                <w:szCs w:val="21"/>
                <w:vertAlign w:val="baseline"/>
                <w:lang w:eastAsia="zh-CN"/>
              </w:rPr>
              <w:t>全日制本科</w:t>
            </w:r>
          </w:p>
        </w:tc>
        <w:tc>
          <w:tcPr>
            <w:tcW w:w="3300" w:type="dxa"/>
            <w:vMerge w:val="restart"/>
            <w:vAlign w:val="center"/>
          </w:tcPr>
          <w:p>
            <w:pPr>
              <w:jc w:val="center"/>
              <w:rPr>
                <w:rFonts w:hint="eastAsia" w:ascii="仿宋" w:hAnsi="仿宋" w:eastAsia="仿宋" w:cs="仿宋"/>
                <w:b/>
                <w:bCs w:val="0"/>
                <w:sz w:val="21"/>
                <w:szCs w:val="21"/>
              </w:rPr>
            </w:pPr>
            <w:r>
              <w:rPr>
                <w:rFonts w:hint="eastAsia" w:ascii="仿宋" w:hAnsi="仿宋" w:eastAsia="仿宋" w:cs="仿宋"/>
                <w:b/>
                <w:bCs w:val="0"/>
                <w:sz w:val="21"/>
                <w:szCs w:val="21"/>
              </w:rPr>
              <w:t>年龄不超过</w:t>
            </w:r>
          </w:p>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40周岁</w:t>
            </w:r>
          </w:p>
        </w:tc>
        <w:tc>
          <w:tcPr>
            <w:tcW w:w="1217" w:type="dxa"/>
            <w:vMerge w:val="restart"/>
            <w:vAlign w:val="center"/>
          </w:tcPr>
          <w:p>
            <w:pPr>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rPr>
              <w:t>2</w:t>
            </w:r>
            <w:r>
              <w:rPr>
                <w:rFonts w:hint="eastAsia" w:ascii="仿宋" w:hAnsi="仿宋" w:eastAsia="仿宋" w:cs="仿宋"/>
                <w:b/>
                <w:bCs w:val="0"/>
                <w:sz w:val="21"/>
                <w:szCs w:val="21"/>
                <w:lang w:eastAsia="zh-CN"/>
              </w:rPr>
              <w:t>人</w:t>
            </w:r>
          </w:p>
        </w:tc>
        <w:tc>
          <w:tcPr>
            <w:tcW w:w="1506" w:type="dxa"/>
            <w:vMerge w:val="restart"/>
            <w:vAlign w:val="center"/>
          </w:tcPr>
          <w:p>
            <w:pPr>
              <w:spacing w:line="400" w:lineRule="exact"/>
              <w:jc w:val="center"/>
              <w:rPr>
                <w:rFonts w:hint="eastAsia" w:ascii="仿宋" w:hAnsi="仿宋" w:eastAsia="仿宋" w:cs="仿宋"/>
                <w:b/>
                <w:bCs w:val="0"/>
                <w:sz w:val="21"/>
                <w:szCs w:val="21"/>
              </w:rPr>
            </w:pPr>
            <w:r>
              <w:rPr>
                <w:rFonts w:hint="eastAsia" w:ascii="仿宋" w:hAnsi="仿宋" w:eastAsia="仿宋" w:cs="仿宋"/>
                <w:b/>
                <w:bCs w:val="0"/>
                <w:sz w:val="21"/>
                <w:szCs w:val="21"/>
              </w:rPr>
              <w:t>编制内</w:t>
            </w:r>
          </w:p>
          <w:p>
            <w:pPr>
              <w:spacing w:line="400" w:lineRule="exact"/>
              <w:jc w:val="center"/>
              <w:rPr>
                <w:rFonts w:hint="eastAsia" w:ascii="仿宋" w:hAnsi="仿宋" w:eastAsia="仿宋" w:cs="仿宋"/>
                <w:b/>
                <w:bCs w:val="0"/>
                <w:color w:val="333333"/>
                <w:kern w:val="0"/>
                <w:sz w:val="21"/>
                <w:szCs w:val="21"/>
                <w:vertAlign w:val="baseline"/>
                <w:lang w:val="en-US" w:eastAsia="zh-CN"/>
              </w:rPr>
            </w:pPr>
            <w:r>
              <w:rPr>
                <w:rFonts w:hint="eastAsia" w:ascii="仿宋" w:hAnsi="仿宋" w:eastAsia="仿宋" w:cs="仿宋"/>
                <w:b/>
                <w:bCs w:val="0"/>
                <w:sz w:val="21"/>
                <w:szCs w:val="21"/>
                <w:lang w:eastAsia="zh-CN"/>
              </w:rPr>
              <w:t>引进</w:t>
            </w:r>
          </w:p>
        </w:tc>
        <w:tc>
          <w:tcPr>
            <w:tcW w:w="1582" w:type="dxa"/>
            <w:vMerge w:val="restart"/>
            <w:vAlign w:val="top"/>
          </w:tcPr>
          <w:p>
            <w:pPr>
              <w:spacing w:line="400" w:lineRule="exact"/>
              <w:jc w:val="both"/>
              <w:rPr>
                <w:rFonts w:hint="eastAsia" w:ascii="仿宋" w:hAnsi="仿宋" w:eastAsia="仿宋" w:cs="仿宋"/>
                <w:b/>
                <w:bCs w:val="0"/>
                <w:color w:val="333333"/>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5" w:hRule="atLeast"/>
        </w:trPr>
        <w:tc>
          <w:tcPr>
            <w:tcW w:w="625" w:type="dxa"/>
            <w:vMerge w:val="continue"/>
            <w:vAlign w:val="center"/>
          </w:tcPr>
          <w:p>
            <w:pPr>
              <w:spacing w:line="400" w:lineRule="exact"/>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76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3583"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650" w:type="dxa"/>
            <w:vAlign w:val="center"/>
          </w:tcPr>
          <w:p>
            <w:pPr>
              <w:jc w:val="center"/>
              <w:rPr>
                <w:rFonts w:hint="eastAsia" w:ascii="方正小标宋简体" w:hAnsi="黑体" w:eastAsia="方正小标宋简体" w:cs="宋体"/>
                <w:b/>
                <w:bCs w:val="0"/>
                <w:color w:val="333333"/>
                <w:kern w:val="0"/>
                <w:sz w:val="32"/>
                <w:szCs w:val="32"/>
                <w:vertAlign w:val="baseline"/>
                <w:lang w:val="en-US" w:eastAsia="zh-CN"/>
              </w:rPr>
            </w:pPr>
          </w:p>
        </w:tc>
        <w:tc>
          <w:tcPr>
            <w:tcW w:w="1000" w:type="dxa"/>
            <w:vAlign w:val="center"/>
          </w:tcPr>
          <w:p>
            <w:pPr>
              <w:jc w:val="center"/>
              <w:rPr>
                <w:rFonts w:hint="eastAsia"/>
                <w:b/>
                <w:bCs w:val="0"/>
                <w:vertAlign w:val="baseline"/>
                <w:lang w:eastAsia="zh-CN"/>
              </w:rPr>
            </w:pPr>
            <w:r>
              <w:rPr>
                <w:rFonts w:hint="eastAsia" w:ascii="仿宋" w:hAnsi="仿宋" w:eastAsia="仿宋" w:cs="仿宋"/>
                <w:b/>
                <w:bCs w:val="0"/>
                <w:sz w:val="21"/>
                <w:szCs w:val="21"/>
                <w:vertAlign w:val="baseline"/>
                <w:lang w:eastAsia="zh-CN"/>
              </w:rPr>
              <w:t>硕士研究生及以上</w:t>
            </w:r>
          </w:p>
        </w:tc>
        <w:tc>
          <w:tcPr>
            <w:tcW w:w="3300"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217"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506"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c>
          <w:tcPr>
            <w:tcW w:w="1582" w:type="dxa"/>
            <w:vMerge w:val="continue"/>
            <w:vAlign w:val="top"/>
          </w:tcPr>
          <w:p>
            <w:pPr>
              <w:spacing w:line="400" w:lineRule="exact"/>
              <w:jc w:val="both"/>
              <w:rPr>
                <w:rFonts w:hint="eastAsia" w:ascii="方正小标宋简体" w:hAnsi="黑体" w:eastAsia="方正小标宋简体" w:cs="宋体"/>
                <w:b/>
                <w:bCs w:val="0"/>
                <w:color w:val="333333"/>
                <w:kern w:val="0"/>
                <w:sz w:val="32"/>
                <w:szCs w:val="32"/>
                <w:vertAlign w:val="baseline"/>
                <w:lang w:val="en-US" w:eastAsia="zh-CN"/>
              </w:rPr>
            </w:pPr>
          </w:p>
        </w:tc>
      </w:tr>
    </w:tbl>
    <w:p>
      <w:pPr>
        <w:spacing w:line="400" w:lineRule="exact"/>
        <w:rPr>
          <w:rFonts w:hint="eastAsia" w:ascii="方正小标宋简体" w:hAnsi="黑体" w:eastAsia="方正小标宋简体" w:cs="宋体"/>
          <w:b/>
          <w:bCs w:val="0"/>
          <w:color w:val="333333"/>
          <w:kern w:val="0"/>
          <w:sz w:val="32"/>
          <w:szCs w:val="32"/>
        </w:rPr>
        <w:sectPr>
          <w:pgSz w:w="16838" w:h="11906" w:orient="landscape"/>
          <w:pgMar w:top="1803" w:right="1440" w:bottom="1803" w:left="1440" w:header="851" w:footer="1587"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spacing w:line="340" w:lineRule="exact"/>
        <w:jc w:val="left"/>
        <w:rPr>
          <w:rFonts w:hint="eastAsia" w:ascii="方正小标宋简体" w:hAnsi="方正小标宋简体" w:eastAsia="方正小标宋简体" w:cs="方正小标宋简体"/>
          <w:b/>
          <w:bCs w:val="0"/>
          <w:sz w:val="32"/>
          <w:szCs w:val="32"/>
          <w:lang w:val="en-US" w:eastAsia="zh-CN"/>
        </w:rPr>
      </w:pPr>
      <w:r>
        <w:rPr>
          <w:rFonts w:hint="eastAsia" w:ascii="方正小标宋简体" w:hAnsi="方正小标宋简体" w:eastAsia="方正小标宋简体" w:cs="方正小标宋简体"/>
          <w:b/>
          <w:bCs w:val="0"/>
          <w:sz w:val="32"/>
          <w:szCs w:val="32"/>
          <w:lang w:eastAsia="zh-CN"/>
        </w:rPr>
        <w:t>附件</w:t>
      </w:r>
      <w:r>
        <w:rPr>
          <w:rFonts w:hint="eastAsia" w:ascii="方正小标宋简体" w:hAnsi="方正小标宋简体" w:eastAsia="方正小标宋简体" w:cs="方正小标宋简体"/>
          <w:b/>
          <w:bCs w:val="0"/>
          <w:sz w:val="32"/>
          <w:szCs w:val="32"/>
          <w:lang w:val="en-US" w:eastAsia="zh-CN"/>
        </w:rPr>
        <w:t>2</w:t>
      </w:r>
    </w:p>
    <w:p>
      <w:pPr>
        <w:spacing w:line="340" w:lineRule="exact"/>
        <w:jc w:val="center"/>
        <w:rPr>
          <w:rFonts w:hint="eastAsia" w:ascii="方正小标宋简体" w:hAnsi="方正小标宋简体" w:eastAsia="方正小标宋简体" w:cs="方正小标宋简体"/>
          <w:b/>
          <w:bCs w:val="0"/>
          <w:sz w:val="32"/>
          <w:szCs w:val="32"/>
        </w:rPr>
      </w:pPr>
      <w:r>
        <w:rPr>
          <w:rFonts w:hint="eastAsia" w:ascii="方正小标宋简体" w:hAnsi="方正小标宋简体" w:eastAsia="方正小标宋简体" w:cs="方正小标宋简体"/>
          <w:b/>
          <w:bCs w:val="0"/>
          <w:sz w:val="32"/>
          <w:szCs w:val="32"/>
        </w:rPr>
        <w:t>四川省南充高级中学</w:t>
      </w:r>
    </w:p>
    <w:p>
      <w:pPr>
        <w:spacing w:line="340" w:lineRule="exact"/>
        <w:jc w:val="center"/>
        <w:rPr>
          <w:rFonts w:hint="eastAsia" w:ascii="方正小标宋简体" w:hAnsi="方正小标宋简体" w:eastAsia="方正小标宋简体" w:cs="方正小标宋简体"/>
          <w:b/>
          <w:bCs w:val="0"/>
          <w:sz w:val="32"/>
          <w:szCs w:val="32"/>
        </w:rPr>
      </w:pPr>
      <w:r>
        <w:rPr>
          <w:rFonts w:hint="eastAsia" w:ascii="方正小标宋简体" w:hAnsi="方正小标宋简体" w:eastAsia="方正小标宋简体" w:cs="方正小标宋简体"/>
          <w:b/>
          <w:bCs w:val="0"/>
          <w:sz w:val="32"/>
          <w:szCs w:val="32"/>
        </w:rPr>
        <w:t>2021年第二批“嘉陵江英才工程”公开</w:t>
      </w:r>
      <w:r>
        <w:rPr>
          <w:rFonts w:hint="eastAsia" w:ascii="方正小标宋简体" w:hAnsi="方正小标宋简体" w:eastAsia="方正小标宋简体" w:cs="方正小标宋简体"/>
          <w:b/>
          <w:bCs w:val="0"/>
          <w:sz w:val="32"/>
          <w:szCs w:val="32"/>
          <w:lang w:eastAsia="zh-CN"/>
        </w:rPr>
        <w:t>引进高层次人才</w:t>
      </w:r>
      <w:r>
        <w:rPr>
          <w:rFonts w:hint="eastAsia" w:ascii="方正小标宋简体" w:hAnsi="方正小标宋简体" w:eastAsia="方正小标宋简体" w:cs="方正小标宋简体"/>
          <w:b/>
          <w:bCs w:val="0"/>
          <w:sz w:val="32"/>
          <w:szCs w:val="32"/>
        </w:rPr>
        <w:t>新冠肺炎疫情防控告知暨承诺书</w:t>
      </w:r>
    </w:p>
    <w:p>
      <w:pPr>
        <w:spacing w:line="340" w:lineRule="exact"/>
        <w:ind w:firstLine="482" w:firstLineChars="200"/>
        <w:rPr>
          <w:rFonts w:hint="eastAsia" w:ascii="仿宋" w:hAnsi="仿宋" w:eastAsia="仿宋" w:cs="仿宋"/>
          <w:b/>
          <w:bCs w:val="0"/>
          <w:sz w:val="24"/>
        </w:rPr>
      </w:pPr>
      <w:r>
        <w:rPr>
          <w:rFonts w:hint="eastAsia" w:ascii="仿宋" w:hAnsi="仿宋" w:eastAsia="仿宋" w:cs="仿宋"/>
          <w:b/>
          <w:bCs w:val="0"/>
          <w:sz w:val="24"/>
        </w:rPr>
        <w:t>一、考生在面试前通过微信小程序“国家政务服务平台”或“天府健康通”申领本人防疫健康码，于面试当天入场时主动向工作人员出示；经现场测量体温正常（＜37.3℃），且本人防疫健康码显示为绿码者，方可进入考点。参加面试的考生应自备一次性医用口罩，除身份核验、面试环节摘除口罩以外，应全程佩戴，做好个人防护。</w:t>
      </w:r>
    </w:p>
    <w:p>
      <w:pPr>
        <w:spacing w:line="340" w:lineRule="exact"/>
        <w:ind w:firstLine="482" w:firstLineChars="200"/>
        <w:rPr>
          <w:rFonts w:hint="eastAsia" w:ascii="仿宋" w:hAnsi="仿宋" w:eastAsia="仿宋" w:cs="仿宋"/>
          <w:b/>
          <w:bCs w:val="0"/>
          <w:sz w:val="24"/>
        </w:rPr>
      </w:pPr>
      <w:r>
        <w:rPr>
          <w:rFonts w:hint="eastAsia" w:ascii="仿宋" w:hAnsi="仿宋" w:eastAsia="仿宋" w:cs="仿宋"/>
          <w:b/>
          <w:bCs w:val="0"/>
          <w:sz w:val="24"/>
        </w:rPr>
        <w:t>二、为避免影响考试，来自国内疫情中高风险地区以及与新冠病毒肺炎确诊、疑似病例或无症状感染者有密切接触史的考生，</w:t>
      </w:r>
      <w:r>
        <w:rPr>
          <w:rFonts w:hint="eastAsia" w:ascii="仿宋" w:hAnsi="仿宋" w:eastAsia="仿宋" w:cs="仿宋"/>
          <w:b/>
          <w:bCs w:val="0"/>
          <w:sz w:val="24"/>
          <w:lang w:val="en-US" w:eastAsia="zh-CN"/>
        </w:rPr>
        <w:t>应至少在面试资格审查前15天到达南充或川内其他低风险地区，</w:t>
      </w:r>
      <w:r>
        <w:rPr>
          <w:rFonts w:hint="eastAsia" w:ascii="仿宋" w:hAnsi="仿宋" w:eastAsia="仿宋" w:cs="仿宋"/>
          <w:b/>
          <w:bCs w:val="0"/>
          <w:sz w:val="24"/>
        </w:rPr>
        <w:t>按照考点当地卫生健康部门疫情防控有关规定，自觉接受隔离观察、健康管理和核酸检测，并在面试资格审查和面试当日提供面试当日7天内的新型冠状病毒肺炎核酸检测阴性证明，不能提供证明的视为考生自愿放弃面试资格。来自国（境）外的考生应按照考点当地疫情防控部门规定，自觉接受健康管理措施，并在面试资格审查和面试当日，提供考点当地卫生健康部门规定时限内的新型冠状病毒肺炎核酸检测阴性证明，不能提供证明的视为考生自愿放弃面试资格。</w:t>
      </w:r>
    </w:p>
    <w:p>
      <w:pPr>
        <w:spacing w:line="340" w:lineRule="exact"/>
        <w:ind w:firstLine="482" w:firstLineChars="200"/>
        <w:rPr>
          <w:rFonts w:hint="eastAsia" w:ascii="仿宋" w:hAnsi="仿宋" w:eastAsia="仿宋" w:cs="仿宋"/>
          <w:b/>
          <w:bCs w:val="0"/>
          <w:sz w:val="24"/>
        </w:rPr>
      </w:pPr>
      <w:r>
        <w:rPr>
          <w:rFonts w:hint="eastAsia" w:ascii="仿宋" w:hAnsi="仿宋" w:eastAsia="仿宋" w:cs="仿宋"/>
          <w:b/>
          <w:bCs w:val="0"/>
          <w:sz w:val="24"/>
        </w:rPr>
        <w:t>三、考生赴考时如乘坐公共交通工具，需要全程佩戴口罩，可佩戴一次性手套，并做好手部卫生，同时注意社交距离。</w:t>
      </w:r>
    </w:p>
    <w:p>
      <w:pPr>
        <w:spacing w:line="340" w:lineRule="exact"/>
        <w:ind w:firstLine="482" w:firstLineChars="200"/>
        <w:rPr>
          <w:rFonts w:hint="eastAsia" w:ascii="仿宋" w:hAnsi="仿宋" w:eastAsia="仿宋" w:cs="仿宋"/>
          <w:b/>
          <w:bCs w:val="0"/>
          <w:sz w:val="24"/>
        </w:rPr>
      </w:pPr>
      <w:r>
        <w:rPr>
          <w:rFonts w:hint="eastAsia" w:ascii="仿宋" w:hAnsi="仿宋" w:eastAsia="仿宋" w:cs="仿宋"/>
          <w:b/>
          <w:bCs w:val="0"/>
          <w:sz w:val="24"/>
        </w:rPr>
        <w:t>四、面试当天入场时因体温异常、咳嗽等症状，经现场医务人员确认有呼吸道异常症状的考生，不再参加此次面试。</w:t>
      </w:r>
    </w:p>
    <w:p>
      <w:pPr>
        <w:spacing w:line="340" w:lineRule="exact"/>
        <w:ind w:firstLine="482" w:firstLineChars="200"/>
        <w:rPr>
          <w:rFonts w:hint="eastAsia" w:ascii="仿宋" w:hAnsi="仿宋" w:eastAsia="仿宋" w:cs="仿宋"/>
          <w:b/>
          <w:bCs w:val="0"/>
          <w:sz w:val="24"/>
        </w:rPr>
      </w:pPr>
      <w:r>
        <w:rPr>
          <w:rFonts w:hint="eastAsia" w:ascii="仿宋" w:hAnsi="仿宋" w:eastAsia="仿宋" w:cs="仿宋"/>
          <w:b/>
          <w:bCs w:val="0"/>
          <w:sz w:val="24"/>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pPr>
        <w:spacing w:line="340" w:lineRule="exact"/>
        <w:ind w:firstLine="482" w:firstLineChars="200"/>
        <w:rPr>
          <w:rFonts w:hint="eastAsia" w:ascii="仿宋" w:hAnsi="仿宋" w:eastAsia="仿宋" w:cs="仿宋"/>
          <w:b/>
          <w:bCs w:val="0"/>
          <w:sz w:val="24"/>
        </w:rPr>
      </w:pPr>
      <w:r>
        <w:rPr>
          <w:rFonts w:hint="eastAsia" w:ascii="仿宋" w:hAnsi="仿宋" w:eastAsia="仿宋" w:cs="仿宋"/>
          <w:b/>
          <w:bCs w:val="0"/>
          <w:sz w:val="24"/>
        </w:rPr>
        <w:t>六、考生在领取面试通知书前须签署《四川省南充高级中学2021年第二批“嘉陵江英才工程”公开</w:t>
      </w:r>
      <w:r>
        <w:rPr>
          <w:rFonts w:hint="eastAsia" w:ascii="仿宋" w:hAnsi="仿宋" w:eastAsia="仿宋" w:cs="仿宋"/>
          <w:b/>
          <w:bCs w:val="0"/>
          <w:sz w:val="24"/>
          <w:lang w:eastAsia="zh-CN"/>
        </w:rPr>
        <w:t>引进高层次人才</w:t>
      </w:r>
      <w:r>
        <w:rPr>
          <w:rFonts w:hint="eastAsia" w:ascii="仿宋" w:hAnsi="仿宋" w:eastAsia="仿宋" w:cs="仿宋"/>
          <w:b/>
          <w:bCs w:val="0"/>
          <w:sz w:val="24"/>
        </w:rPr>
        <w:t>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pPr>
        <w:spacing w:line="340" w:lineRule="exact"/>
        <w:ind w:firstLine="482" w:firstLineChars="200"/>
        <w:jc w:val="right"/>
        <w:rPr>
          <w:rFonts w:hint="eastAsia" w:ascii="仿宋" w:hAnsi="仿宋" w:eastAsia="仿宋" w:cs="仿宋"/>
          <w:b/>
          <w:bCs w:val="0"/>
          <w:sz w:val="24"/>
        </w:rPr>
      </w:pPr>
      <w:r>
        <w:rPr>
          <w:rFonts w:hint="eastAsia" w:ascii="仿宋" w:hAnsi="仿宋" w:eastAsia="仿宋" w:cs="仿宋"/>
          <w:b/>
          <w:bCs w:val="0"/>
          <w:sz w:val="24"/>
        </w:rPr>
        <w:t>四川省南充高级中学</w:t>
      </w:r>
    </w:p>
    <w:p>
      <w:pPr>
        <w:spacing w:line="340" w:lineRule="exact"/>
        <w:ind w:firstLine="482" w:firstLineChars="200"/>
        <w:jc w:val="right"/>
        <w:rPr>
          <w:rFonts w:hint="eastAsia" w:ascii="仿宋" w:hAnsi="仿宋" w:eastAsia="仿宋" w:cs="仿宋"/>
          <w:b/>
          <w:bCs w:val="0"/>
          <w:sz w:val="24"/>
        </w:rPr>
      </w:pPr>
      <w:r>
        <w:rPr>
          <w:rFonts w:hint="eastAsia" w:ascii="仿宋" w:hAnsi="仿宋" w:eastAsia="仿宋" w:cs="仿宋"/>
          <w:b/>
          <w:bCs w:val="0"/>
          <w:sz w:val="24"/>
        </w:rPr>
        <w:t>2021年xx月xx日</w:t>
      </w:r>
    </w:p>
    <w:p>
      <w:pPr>
        <w:spacing w:line="340" w:lineRule="exact"/>
        <w:rPr>
          <w:rFonts w:hint="eastAsia" w:ascii="仿宋" w:hAnsi="仿宋" w:eastAsia="仿宋" w:cs="仿宋"/>
          <w:b/>
          <w:bCs w:val="0"/>
          <w:sz w:val="24"/>
        </w:rPr>
      </w:pPr>
      <w:r>
        <w:rPr>
          <w:rFonts w:hint="eastAsia" w:ascii="仿宋" w:hAnsi="仿宋" w:eastAsia="仿宋" w:cs="仿宋"/>
          <w:b/>
          <w:bCs w:val="0"/>
          <w:sz w:val="24"/>
        </w:rPr>
        <w:t>...... ..............................................................</w:t>
      </w:r>
    </w:p>
    <w:p>
      <w:pPr>
        <w:spacing w:line="340" w:lineRule="exact"/>
        <w:ind w:firstLine="482" w:firstLineChars="200"/>
        <w:rPr>
          <w:rFonts w:hint="eastAsia" w:ascii="仿宋" w:hAnsi="仿宋" w:eastAsia="仿宋" w:cs="仿宋"/>
          <w:b/>
          <w:bCs w:val="0"/>
          <w:sz w:val="24"/>
        </w:rPr>
      </w:pPr>
      <w:r>
        <w:rPr>
          <w:rFonts w:hint="eastAsia" w:ascii="仿宋" w:hAnsi="仿宋" w:eastAsia="仿宋" w:cs="仿宋"/>
          <w:b/>
          <w:bCs w:val="0"/>
          <w:sz w:val="24"/>
        </w:rPr>
        <w:t>本人已认真阅读《四川省南充高级中学2021年第二批“嘉陵江英才工程”公开</w:t>
      </w:r>
      <w:r>
        <w:rPr>
          <w:rFonts w:hint="eastAsia" w:ascii="仿宋" w:hAnsi="仿宋" w:eastAsia="仿宋" w:cs="仿宋"/>
          <w:b/>
          <w:bCs w:val="0"/>
          <w:sz w:val="24"/>
          <w:lang w:eastAsia="zh-CN"/>
        </w:rPr>
        <w:t>引进高层次人才</w:t>
      </w:r>
      <w:r>
        <w:rPr>
          <w:rFonts w:hint="eastAsia" w:ascii="仿宋" w:hAnsi="仿宋" w:eastAsia="仿宋" w:cs="仿宋"/>
          <w:b/>
          <w:bCs w:val="0"/>
          <w:sz w:val="24"/>
        </w:rPr>
        <w:t>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spacing w:line="340" w:lineRule="exact"/>
        <w:ind w:firstLine="482" w:firstLineChars="200"/>
        <w:jc w:val="center"/>
        <w:rPr>
          <w:rFonts w:hint="eastAsia" w:ascii="仿宋" w:hAnsi="仿宋" w:eastAsia="仿宋" w:cs="仿宋"/>
          <w:b/>
          <w:bCs w:val="0"/>
        </w:rPr>
      </w:pPr>
      <w:r>
        <w:rPr>
          <w:rFonts w:hint="eastAsia" w:ascii="仿宋" w:hAnsi="仿宋" w:eastAsia="仿宋" w:cs="仿宋"/>
          <w:b/>
          <w:bCs w:val="0"/>
          <w:sz w:val="24"/>
        </w:rPr>
        <w:t xml:space="preserve">                承诺人（签字）：</w:t>
      </w:r>
    </w:p>
    <w:p/>
    <w:sectPr>
      <w:pgSz w:w="11906" w:h="16838"/>
      <w:pgMar w:top="1440" w:right="1803" w:bottom="1440" w:left="1803" w:header="851" w:footer="1587" w:gutter="0"/>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0110B"/>
    <w:rsid w:val="561B02A5"/>
    <w:rsid w:val="6220110B"/>
    <w:rsid w:val="72AD65E8"/>
    <w:rsid w:val="7E444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next w:val="1"/>
    <w:uiPriority w:val="0"/>
    <w:pPr>
      <w:tabs>
        <w:tab w:val="center" w:pos="4153"/>
        <w:tab w:val="right" w:pos="8306"/>
      </w:tabs>
      <w:snapToGrid w:val="0"/>
      <w:jc w:val="left"/>
    </w:pPr>
    <w:rPr>
      <w:sz w:val="18"/>
      <w:szCs w:val="18"/>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qFormat/>
    <w:uiPriority w:val="0"/>
    <w:rPr>
      <w:b/>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2021-04-30T09:28:00Z</dcterms:created>
  <dc:creator>Lenovo</dc:creator>
  <cp:lastModifiedBy>ぺ灬cc果冻ル</cp:lastModifiedBy>
  <dcterms:modified xsi:type="dcterms:W3CDTF">2021-05-01T01:54:38Z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