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88"/>
        <w:gridCol w:w="1330"/>
        <w:gridCol w:w="6318"/>
      </w:tblGrid>
      <w:tr w:rsidR="000E2FAD" w:rsidRPr="000E2FAD" w:rsidTr="000E2FAD">
        <w:trPr>
          <w:trHeight w:val="570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序号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专业大类</w:t>
            </w:r>
          </w:p>
        </w:tc>
        <w:tc>
          <w:tcPr>
            <w:tcW w:w="6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相近相关专业</w:t>
            </w:r>
          </w:p>
        </w:tc>
      </w:tr>
      <w:tr w:rsidR="000E2FAD" w:rsidRPr="000E2FAD" w:rsidTr="000E2FAD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物理类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物理学、应用物理学、核物理、声学、理论物理、粒子物理与原子核物理、原子与分子物理、等离子体物理、凝聚态物理、声学、光学、无线电物理</w:t>
            </w:r>
          </w:p>
        </w:tc>
      </w:tr>
      <w:tr w:rsidR="000E2FAD" w:rsidRPr="000E2FAD" w:rsidTr="000E2FAD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历史类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历史学、世界史、考古学、文物保护技术、文物与博物馆学、外国语言与外国历史、</w:t>
            </w:r>
          </w:p>
        </w:tc>
      </w:tr>
      <w:tr w:rsidR="000E2FAD" w:rsidRPr="000E2FAD" w:rsidTr="000E2FAD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地理类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2FAD" w:rsidRPr="000E2FAD" w:rsidRDefault="000E2FAD" w:rsidP="000E2FAD">
            <w:pPr>
              <w:pStyle w:val="a3"/>
            </w:pPr>
            <w:r w:rsidRPr="000E2FAD">
              <w:rPr>
                <w:rFonts w:hint="eastAsia"/>
              </w:rPr>
              <w:t>地理科学、自然地理与资源环境、人文地理与城乡规划、自然地理学、人文地理学、地图学与地理信息系统、环境地理学、学科教学（地理）、课程与教学论（地理）</w:t>
            </w:r>
          </w:p>
        </w:tc>
      </w:tr>
    </w:tbl>
    <w:p w:rsidR="004358AB" w:rsidRDefault="004358AB" w:rsidP="000E2FAD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E2FAD"/>
    <w:rsid w:val="000E2FAD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E9006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0E2FA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4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2021-05-11T02:20:00Z</dcterms:created>
  <dcterms:modified xsi:type="dcterms:W3CDTF">2021-05-11T02:22:00Z</dcterms:modified>
</cp:coreProperties>
</file>