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default" w:ascii="Times New Roman" w:hAnsi="Times New Roman" w:eastAsia="方正黑体_GBK" w:cs="Times New Roman"/>
          <w:sz w:val="32"/>
          <w:szCs w:val="32"/>
          <w:lang w:eastAsia="zh-CN"/>
        </w:rPr>
      </w:pPr>
      <w:r>
        <w:rPr>
          <w:rFonts w:hint="default" w:ascii="Times New Roman" w:hAnsi="Times New Roman" w:eastAsia="方正黑体_GBK" w:cs="Times New Roman"/>
          <w:sz w:val="32"/>
          <w:szCs w:val="32"/>
        </w:rPr>
        <w:t>附件</w:t>
      </w:r>
      <w:r>
        <w:rPr>
          <w:rFonts w:hint="eastAsia" w:eastAsia="方正黑体_GBK" w:cs="Times New Roman"/>
          <w:sz w:val="32"/>
          <w:szCs w:val="32"/>
          <w:lang w:val="en-US" w:eastAsia="zh-CN"/>
        </w:rPr>
        <w:t>3</w:t>
      </w:r>
      <w:bookmarkStart w:id="0" w:name="_GoBack"/>
      <w:bookmarkEnd w:id="0"/>
    </w:p>
    <w:p>
      <w:pPr>
        <w:spacing w:line="480" w:lineRule="exact"/>
        <w:rPr>
          <w:rFonts w:hint="default" w:ascii="Times New Roman" w:hAnsi="Times New Roman" w:eastAsia="方正仿宋_GBK" w:cs="Times New Roman"/>
          <w:sz w:val="28"/>
          <w:szCs w:val="28"/>
        </w:rPr>
      </w:pPr>
    </w:p>
    <w:p>
      <w:pPr>
        <w:spacing w:line="60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重庆市考试录用公务员专业参考目录</w:t>
      </w:r>
    </w:p>
    <w:p>
      <w:pPr>
        <w:spacing w:line="48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（2015年8月修订）</w:t>
      </w:r>
    </w:p>
    <w:p>
      <w:pPr>
        <w:spacing w:line="600" w:lineRule="exact"/>
        <w:ind w:firstLine="420" w:firstLineChars="200"/>
        <w:rPr>
          <w:rFonts w:hint="default" w:ascii="Times New Roman" w:hAnsi="Times New Roman" w:eastAsia="方正仿宋_GBK" w:cs="Times New Roman"/>
        </w:rPr>
      </w:pPr>
    </w:p>
    <w:p>
      <w:pPr>
        <w:spacing w:line="480" w:lineRule="exact"/>
        <w:ind w:firstLine="600" w:firstLineChars="200"/>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为规范我市招录机关（单位）的专业条件设置和审核工作、方便考生报考，在参考国家教育行政部门颁布的高校专业目录的基础上，经广泛征求意见并结合我市实际，我们编撰了《重庆市考试录用公务员专业参考目录》（以下简称《参考目录》）。</w:t>
      </w:r>
    </w:p>
    <w:p>
      <w:pPr>
        <w:spacing w:line="480" w:lineRule="exact"/>
        <w:ind w:firstLine="600" w:firstLineChars="200"/>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一、本《参考目录》参照教育部门的分类规则，分为2个“科别”，12个“学科门类”，94个“专业类”，并按学历层次分为若干具体专业名称。</w:t>
      </w:r>
    </w:p>
    <w:p>
      <w:pPr>
        <w:spacing w:line="480" w:lineRule="exact"/>
        <w:ind w:firstLine="600" w:firstLineChars="200"/>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二、公招计划一览表中的专业要求，由招录机关（单位）设置并负责解释，本《参考目录》仅供招录机关（单位）在设置专业要求及考生报考岗位时参考。报考人员应按照岗位资格条件中设置的专业要求，确定本人毕业证书上所列专业名称与岗位要求的专业名称一致后，才能报名。</w:t>
      </w:r>
    </w:p>
    <w:p>
      <w:pPr>
        <w:spacing w:line="480" w:lineRule="exact"/>
        <w:ind w:firstLine="600" w:firstLineChars="200"/>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三、对于取得全日制普通高等院校普通本科及以上学历并取得学士及以上学位的报考人员，若在校期间取得辅修专业证书、第二专业证书的，可按照在校期间取得的辅修专业证书、第二专业证书上所载明的专业报考。</w:t>
      </w:r>
    </w:p>
    <w:p>
      <w:pPr>
        <w:spacing w:line="480" w:lineRule="exact"/>
        <w:ind w:firstLine="600" w:firstLineChars="200"/>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四、报考人员要严格执行诚信报考的有关规定，对于填报符合岗位要求专业名称的虚假专业名称信息的，将按照诚信报考有关规定执行。</w:t>
      </w:r>
    </w:p>
    <w:p>
      <w:pPr>
        <w:spacing w:line="480" w:lineRule="exact"/>
        <w:ind w:firstLine="600" w:firstLineChars="200"/>
        <w:rPr>
          <w:rFonts w:hint="default" w:ascii="Times New Roman" w:hAnsi="Times New Roman" w:eastAsia="方正仿宋_GBK" w:cs="Times New Roman"/>
          <w:sz w:val="30"/>
          <w:szCs w:val="30"/>
        </w:rPr>
      </w:pPr>
    </w:p>
    <w:p>
      <w:pPr>
        <w:spacing w:line="480" w:lineRule="exact"/>
        <w:ind w:firstLine="600" w:firstLineChars="200"/>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                                  2015年8月</w:t>
      </w:r>
    </w:p>
    <w:p>
      <w:pPr>
        <w:rPr>
          <w:rFonts w:hint="default" w:ascii="Times New Roman" w:hAnsi="Times New Roman" w:cs="Times New Roman"/>
        </w:rPr>
        <w:sectPr>
          <w:pgSz w:w="11906" w:h="16838"/>
          <w:pgMar w:top="1440" w:right="1800" w:bottom="1440" w:left="1800" w:header="851" w:footer="992" w:gutter="0"/>
          <w:cols w:space="425" w:num="1"/>
          <w:docGrid w:type="lines" w:linePitch="312" w:charSpace="0"/>
        </w:sectPr>
      </w:pPr>
    </w:p>
    <w:tbl>
      <w:tblPr>
        <w:tblStyle w:val="5"/>
        <w:tblW w:w="137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1027"/>
        <w:gridCol w:w="905"/>
        <w:gridCol w:w="3684"/>
        <w:gridCol w:w="4083"/>
        <w:gridCol w:w="3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673" w:type="dxa"/>
            <w:vMerge w:val="restart"/>
            <w:vAlign w:val="center"/>
          </w:tcPr>
          <w:p>
            <w:pPr>
              <w:widowControl/>
              <w:spacing w:line="240" w:lineRule="exact"/>
              <w:jc w:val="center"/>
              <w:rPr>
                <w:rFonts w:hint="default" w:ascii="Times New Roman" w:hAnsi="Times New Roman" w:eastAsia="方正仿宋_GBK" w:cs="Times New Roman"/>
                <w:b/>
                <w:bCs/>
                <w:kern w:val="0"/>
                <w:sz w:val="18"/>
                <w:szCs w:val="18"/>
              </w:rPr>
            </w:pPr>
            <w:r>
              <w:rPr>
                <w:rFonts w:hint="default" w:ascii="Times New Roman" w:hAnsi="Times New Roman" w:eastAsia="方正仿宋_GBK" w:cs="Times New Roman"/>
                <w:b/>
                <w:bCs/>
                <w:kern w:val="0"/>
                <w:sz w:val="18"/>
                <w:szCs w:val="18"/>
              </w:rPr>
              <w:t>科别</w:t>
            </w:r>
          </w:p>
        </w:tc>
        <w:tc>
          <w:tcPr>
            <w:tcW w:w="1027" w:type="dxa"/>
            <w:vMerge w:val="restart"/>
            <w:vAlign w:val="center"/>
          </w:tcPr>
          <w:p>
            <w:pPr>
              <w:widowControl/>
              <w:spacing w:line="240" w:lineRule="exact"/>
              <w:ind w:left="-105" w:leftChars="-50" w:right="-105" w:rightChars="-50"/>
              <w:jc w:val="center"/>
              <w:rPr>
                <w:rFonts w:hint="default" w:ascii="Times New Roman" w:hAnsi="Times New Roman" w:eastAsia="方正仿宋_GBK" w:cs="Times New Roman"/>
                <w:b/>
                <w:bCs/>
                <w:kern w:val="0"/>
                <w:sz w:val="18"/>
                <w:szCs w:val="18"/>
              </w:rPr>
            </w:pPr>
            <w:r>
              <w:rPr>
                <w:rFonts w:hint="default" w:ascii="Times New Roman" w:hAnsi="Times New Roman" w:eastAsia="方正仿宋_GBK" w:cs="Times New Roman"/>
                <w:b/>
                <w:bCs/>
                <w:kern w:val="0"/>
                <w:sz w:val="18"/>
                <w:szCs w:val="18"/>
              </w:rPr>
              <w:t>学科</w:t>
            </w:r>
          </w:p>
          <w:p>
            <w:pPr>
              <w:widowControl/>
              <w:spacing w:line="240" w:lineRule="exact"/>
              <w:ind w:left="-105" w:leftChars="-50" w:right="-105" w:rightChars="-50"/>
              <w:jc w:val="center"/>
              <w:rPr>
                <w:rFonts w:hint="default" w:ascii="Times New Roman" w:hAnsi="Times New Roman" w:eastAsia="方正仿宋_GBK" w:cs="Times New Roman"/>
                <w:b/>
                <w:bCs/>
                <w:kern w:val="0"/>
                <w:sz w:val="18"/>
                <w:szCs w:val="18"/>
              </w:rPr>
            </w:pPr>
            <w:r>
              <w:rPr>
                <w:rFonts w:hint="default" w:ascii="Times New Roman" w:hAnsi="Times New Roman" w:eastAsia="方正仿宋_GBK" w:cs="Times New Roman"/>
                <w:b/>
                <w:bCs/>
                <w:kern w:val="0"/>
                <w:sz w:val="18"/>
                <w:szCs w:val="18"/>
              </w:rPr>
              <w:t>门类</w:t>
            </w:r>
          </w:p>
        </w:tc>
        <w:tc>
          <w:tcPr>
            <w:tcW w:w="905" w:type="dxa"/>
            <w:vMerge w:val="restart"/>
            <w:vAlign w:val="center"/>
          </w:tcPr>
          <w:p>
            <w:pPr>
              <w:widowControl/>
              <w:spacing w:line="240" w:lineRule="exact"/>
              <w:ind w:left="-105" w:leftChars="-50" w:right="-105" w:rightChars="-50"/>
              <w:jc w:val="center"/>
              <w:rPr>
                <w:rFonts w:hint="default" w:ascii="Times New Roman" w:hAnsi="Times New Roman" w:eastAsia="方正仿宋_GBK" w:cs="Times New Roman"/>
                <w:b/>
                <w:bCs/>
                <w:kern w:val="0"/>
                <w:sz w:val="18"/>
                <w:szCs w:val="18"/>
              </w:rPr>
            </w:pPr>
            <w:r>
              <w:rPr>
                <w:rFonts w:hint="default" w:ascii="Times New Roman" w:hAnsi="Times New Roman" w:eastAsia="方正仿宋_GBK" w:cs="Times New Roman"/>
                <w:b/>
                <w:bCs/>
                <w:kern w:val="0"/>
                <w:sz w:val="18"/>
                <w:szCs w:val="18"/>
              </w:rPr>
              <w:t>专业类</w:t>
            </w:r>
          </w:p>
        </w:tc>
        <w:tc>
          <w:tcPr>
            <w:tcW w:w="11130" w:type="dxa"/>
            <w:gridSpan w:val="3"/>
            <w:vAlign w:val="center"/>
          </w:tcPr>
          <w:p>
            <w:pPr>
              <w:widowControl/>
              <w:spacing w:line="240" w:lineRule="exact"/>
              <w:jc w:val="center"/>
              <w:rPr>
                <w:rFonts w:hint="default" w:ascii="Times New Roman" w:hAnsi="Times New Roman" w:eastAsia="方正仿宋_GBK" w:cs="Times New Roman"/>
                <w:b/>
                <w:bCs/>
                <w:kern w:val="0"/>
                <w:sz w:val="18"/>
                <w:szCs w:val="18"/>
              </w:rPr>
            </w:pPr>
            <w:r>
              <w:rPr>
                <w:rFonts w:hint="default" w:ascii="Times New Roman" w:hAnsi="Times New Roman" w:eastAsia="方正仿宋_GBK" w:cs="Times New Roman"/>
                <w:b/>
                <w:bCs/>
                <w:kern w:val="0"/>
                <w:sz w:val="18"/>
                <w:szCs w:val="18"/>
              </w:rPr>
              <w:t>专业名称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blHeader/>
          <w:jc w:val="center"/>
        </w:trPr>
        <w:tc>
          <w:tcPr>
            <w:tcW w:w="673" w:type="dxa"/>
            <w:vMerge w:val="continue"/>
            <w:vAlign w:val="center"/>
          </w:tcPr>
          <w:p>
            <w:pPr>
              <w:widowControl/>
              <w:jc w:val="left"/>
              <w:rPr>
                <w:rFonts w:hint="default" w:ascii="Times New Roman" w:hAnsi="Times New Roman" w:eastAsia="方正仿宋_GBK" w:cs="Times New Roman"/>
                <w:b/>
                <w:bCs/>
                <w:kern w:val="0"/>
                <w:sz w:val="18"/>
                <w:szCs w:val="18"/>
              </w:rPr>
            </w:pPr>
          </w:p>
        </w:tc>
        <w:tc>
          <w:tcPr>
            <w:tcW w:w="1027" w:type="dxa"/>
            <w:vMerge w:val="continue"/>
            <w:vAlign w:val="center"/>
          </w:tcPr>
          <w:p>
            <w:pPr>
              <w:widowControl/>
              <w:jc w:val="left"/>
              <w:rPr>
                <w:rFonts w:hint="default" w:ascii="Times New Roman" w:hAnsi="Times New Roman" w:eastAsia="方正仿宋_GBK" w:cs="Times New Roman"/>
                <w:b/>
                <w:bCs/>
                <w:kern w:val="0"/>
                <w:sz w:val="18"/>
                <w:szCs w:val="18"/>
              </w:rPr>
            </w:pPr>
          </w:p>
        </w:tc>
        <w:tc>
          <w:tcPr>
            <w:tcW w:w="905" w:type="dxa"/>
            <w:vMerge w:val="continue"/>
            <w:vAlign w:val="center"/>
          </w:tcPr>
          <w:p>
            <w:pPr>
              <w:widowControl/>
              <w:jc w:val="left"/>
              <w:rPr>
                <w:rFonts w:hint="default" w:ascii="Times New Roman" w:hAnsi="Times New Roman" w:eastAsia="方正仿宋_GBK" w:cs="Times New Roman"/>
                <w:b/>
                <w:bCs/>
                <w:kern w:val="0"/>
                <w:sz w:val="18"/>
                <w:szCs w:val="18"/>
              </w:rPr>
            </w:pPr>
          </w:p>
        </w:tc>
        <w:tc>
          <w:tcPr>
            <w:tcW w:w="3684" w:type="dxa"/>
            <w:vAlign w:val="center"/>
          </w:tcPr>
          <w:p>
            <w:pPr>
              <w:widowControl/>
              <w:spacing w:line="240" w:lineRule="exact"/>
              <w:jc w:val="center"/>
              <w:rPr>
                <w:rFonts w:hint="default" w:ascii="Times New Roman" w:hAnsi="Times New Roman" w:eastAsia="方正仿宋_GBK" w:cs="Times New Roman"/>
                <w:b/>
                <w:bCs/>
                <w:kern w:val="0"/>
                <w:sz w:val="18"/>
                <w:szCs w:val="18"/>
              </w:rPr>
            </w:pPr>
            <w:r>
              <w:rPr>
                <w:rFonts w:hint="default" w:ascii="Times New Roman" w:hAnsi="Times New Roman" w:eastAsia="方正仿宋_GBK" w:cs="Times New Roman"/>
                <w:b/>
                <w:bCs/>
                <w:kern w:val="0"/>
                <w:sz w:val="18"/>
                <w:szCs w:val="18"/>
              </w:rPr>
              <w:t>研究生专业</w:t>
            </w:r>
          </w:p>
        </w:tc>
        <w:tc>
          <w:tcPr>
            <w:tcW w:w="4083" w:type="dxa"/>
            <w:vAlign w:val="center"/>
          </w:tcPr>
          <w:p>
            <w:pPr>
              <w:widowControl/>
              <w:spacing w:line="240" w:lineRule="exact"/>
              <w:jc w:val="center"/>
              <w:rPr>
                <w:rFonts w:hint="default" w:ascii="Times New Roman" w:hAnsi="Times New Roman" w:eastAsia="方正仿宋_GBK" w:cs="Times New Roman"/>
                <w:b/>
                <w:bCs/>
                <w:kern w:val="0"/>
                <w:sz w:val="18"/>
                <w:szCs w:val="18"/>
              </w:rPr>
            </w:pPr>
            <w:r>
              <w:rPr>
                <w:rFonts w:hint="default" w:ascii="Times New Roman" w:hAnsi="Times New Roman" w:eastAsia="方正仿宋_GBK" w:cs="Times New Roman"/>
                <w:b/>
                <w:bCs/>
                <w:kern w:val="0"/>
                <w:sz w:val="18"/>
                <w:szCs w:val="18"/>
              </w:rPr>
              <w:t>本科专业</w:t>
            </w:r>
          </w:p>
        </w:tc>
        <w:tc>
          <w:tcPr>
            <w:tcW w:w="3363" w:type="dxa"/>
            <w:vAlign w:val="center"/>
          </w:tcPr>
          <w:p>
            <w:pPr>
              <w:widowControl/>
              <w:spacing w:line="240" w:lineRule="exact"/>
              <w:jc w:val="center"/>
              <w:rPr>
                <w:rFonts w:hint="default" w:ascii="Times New Roman" w:hAnsi="Times New Roman" w:eastAsia="方正仿宋_GBK" w:cs="Times New Roman"/>
                <w:b/>
                <w:bCs/>
                <w:kern w:val="0"/>
                <w:sz w:val="18"/>
                <w:szCs w:val="18"/>
              </w:rPr>
            </w:pPr>
            <w:r>
              <w:rPr>
                <w:rFonts w:hint="default" w:ascii="Times New Roman" w:hAnsi="Times New Roman" w:eastAsia="方正仿宋_GBK" w:cs="Times New Roman"/>
                <w:b/>
                <w:bCs/>
                <w:kern w:val="0"/>
                <w:sz w:val="18"/>
                <w:szCs w:val="18"/>
              </w:rPr>
              <w:t>专科专业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哲学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哲学类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马克思主义哲学，中国哲学，外国哲学，逻辑学，伦理学，美学，宗教学，科学技术哲学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哲学，逻辑学，宗教学，伦理学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经济学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经济</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经济学，经济统计学，国民经济管理，资源与环境经济学，商务经济学，能源经济，海洋经济学，环境经济，环境资源与发展经济学,农业经济，工业经济，运输经济，劳动经济，投资经济，传媒经济学，计划统计，经营计划与统计，统计与概算，网络经济学，国土资源调查专业统计，会计统计，经济信息管理，经济管理与计算机，经济与社会管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经济管理，经济信息管理，资产评估管理，邮电经济管理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经济学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财政</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财政学，税收学，税务</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财税，财政学，税收学，税务</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财政，税务，财税，财政与税收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经济学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金融</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金融学，保险学，金融工程，投资学，金融，保险，应用金融，金融与管理</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金融学，金融工程，金融管理，保险学，投资学，金融数学，信用管理，经济与金融，保险，国际金融，货币银行学，金融</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经济学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经济与</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贸易类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国际贸易学，服务贸易学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国际经济与贸易,贸易经济,国际文化贸易，国际贸易</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国际经济与贸易，国际贸易实务，商务经纪与代理，国际贸易，涉外经济与法律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O法律制度，中国司法制度，比较司法制度，比较刑法学，司法制度，法律逻辑，法律逻辑学，知识产权，知识产权法学，民族法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法学，知识产权，监狱学，知识产权法，诉讼法，法律，国际法，刑事司法，律师，涉外法律，经济法律事务，法律事务，大法学，经济法学，涉外法律事务，行政法，民商法</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司法助理，法律文秘，司法警务，法律事务，涉外经济法律事务，经济法律事务，律师事务，行政法律事务，法律，书记官，海关国际法律条约与公约，检查事务，经济法，商贸法律，法学，律师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政治</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政治学理论，中外政治制度，科学社会主义与国际共产主义运动，中共党史，国际政治，国际关系，外交学，民族政治学，政治与国际研究</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政治学与行政学，国际政治，国际关系，外交学，国际事务与国际关系，政治学、经济学与哲学，国际政治经济学，国际文化交流，欧洲事务与欧洲关系，东亚事务与东亚关系，国际事务，政治学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政治学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社会</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社会学，人口学，人类学，民俗学，社会工作</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社会学，社会工作，社会工作与管理，人类学，女性学，家政学，人口学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民族</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民族学，马克思主义民族理论与政策，中国少数民族经济，中国少数民族史，中国少数民族艺术</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民族学，民族理论与民族政策</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马克思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主义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理论类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科学社会主义，中国共产党党史，中国共产党历史，思想政治教育，科学社会主义与国际共产主义运动，中国革命史与中国共产党党史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思想政治教育，政治和思想品德教育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公安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0"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司法</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执行及</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技术类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物证技术学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狱政管理，刑事执行，劳教管理，罪犯教育，罪犯心理矫治，监所管理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教育学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教育</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 特殊教育），高等学校教师专业，中等职业学校教师专业，汉语国际教育，学科课程与教学论</w:t>
            </w:r>
          </w:p>
        </w:tc>
        <w:tc>
          <w:tcPr>
            <w:tcW w:w="4083" w:type="dxa"/>
            <w:vAlign w:val="center"/>
          </w:tcPr>
          <w:p>
            <w:pPr>
              <w:widowControl/>
              <w:tabs>
                <w:tab w:val="left" w:pos="2902"/>
              </w:tabs>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政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教育学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体育</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体育人文社会学，运动人体科学，体育教育训练学，民族传统体育学，体育硕士专业（体育教学、运动训练、竞赛组织、社会体育指导）</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竞技体育，运动训练，社会体育，体育保健，体育服务与管理，武术，体育，民族传统体育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文学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中国</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语言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文学类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0"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文学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外国语言文学类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莱语，希伯来语，越南语，豪萨语，斯瓦希里语，阿尔巴尼亚语，保加利亚语，波兰语，捷克语，罗马尼亚语，葡萄牙语，瑞典语，塞尔维亚语，塞尔维亚—克罗地亚语，土耳其语，希腊语，匈牙利语，意大利语，捷克－斯洛伐克语，泰米尔语，普什图语，世界语，孟加拉语，尼泊尔语，塞尔维亚语—克罗地亚语，克罗地亚语，爱尔兰语，荷兰语，芬兰语，乌克兰语，韩国语，挪威语，丹麦语，立陶宛语，爱沙尼亚语，马耳他语，冰岛语，翻译，国际经济与贸易英语，商贸英语，商务英语，应用英语，英语翻译，英汉笔译</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文学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新闻</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传播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新闻学，传播学，新闻与传播，出版，出版研究，编辑出版学，媒体与文化分析专业，国际新闻</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新闻学，广播电视新闻学，编辑出版学，传播学，媒体创意，国际新闻，体育新闻，新闻，广告学，广播电视学，网络与新媒体，数字出版，新媒体与信息网络</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历史学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历史</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历史学，世界史，世界历史，考古学，博物馆学，文物与博物馆学，国际关系史，文物保护技术，外国语言与外国历史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数学类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基础数学，计算数学，概率论与数理统计，应用数学，运筹学与控制论</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数学与应用数学，信息与计算科学，数理基础科学，应用数学，计算数学及其应用软件，数学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物理</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理论物理，粒子物理与原子核物理，原子与分子物理，等离子体物理，凝聚态物理，声学，光学，光学工程，无线电物理</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物理学，应用物理学，声学，物理学教育，原子核物理学及核技术，核物理，光学，应用光学，光学工程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化学类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化学，无机化学，分析化学，有机化学，物理化学，高分子化学与物理，化学生物学，环境化学，电化学，催化化学，物构化学，农药学，材料物流与化学，</w:t>
            </w:r>
            <w:r>
              <w:rPr>
                <w:rFonts w:hint="default" w:ascii="Times New Roman" w:hAnsi="Times New Roman" w:eastAsia="方正仿宋_GBK" w:cs="Times New Roman"/>
                <w:bCs/>
                <w:kern w:val="0"/>
                <w:sz w:val="18"/>
                <w:szCs w:val="18"/>
              </w:rPr>
              <w:t>放射化学，化学信息</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化学，应用化学，化学生物学，分子科学与工程，化学教育，</w:t>
            </w:r>
            <w:r>
              <w:rPr>
                <w:rFonts w:hint="default" w:ascii="Times New Roman" w:hAnsi="Times New Roman" w:eastAsia="方正仿宋_GBK" w:cs="Times New Roman"/>
                <w:bCs/>
                <w:kern w:val="0"/>
                <w:sz w:val="18"/>
                <w:szCs w:val="18"/>
              </w:rPr>
              <w:t>放射化学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天文</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天体物理，天体测量与天体力学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天文学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地理科学类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地理，地理学，自然地理学，人文地理学，地图学与地理信息系统</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673" w:type="dxa"/>
            <w:vAlign w:val="center"/>
          </w:tcPr>
          <w:p>
            <w:pPr>
              <w:widowControl/>
              <w:spacing w:line="20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海洋</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科学类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物理海洋学，海洋化学，海洋生物学，海洋地质，海岸带综合管理，海洋物理</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海洋科学，海洋技术，海洋管理，军事海洋学，海洋生物资源与环境，海洋物理学，海洋化学，海洋生物学，海洋资源与环境</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673" w:type="dxa"/>
            <w:vAlign w:val="center"/>
          </w:tcPr>
          <w:p>
            <w:pPr>
              <w:widowControl/>
              <w:spacing w:line="20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大气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科学类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气象学，大气物理学与大气环境，大气科学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大气科学，应用气象学，气象学，气候学，大气物理学与大气环境，农业气象</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大气科学技术，大气探测技术，应用气象技术，防雷技术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673" w:type="dxa"/>
            <w:vAlign w:val="center"/>
          </w:tcPr>
          <w:p>
            <w:pPr>
              <w:widowControl/>
              <w:spacing w:line="20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地球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物理学类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固体地球物理学，空间物理学，应用地球物理</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地球物理学，地球与空间科学，空间科学与技术，空间物理学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673" w:type="dxa"/>
            <w:vAlign w:val="center"/>
          </w:tcPr>
          <w:p>
            <w:pPr>
              <w:widowControl/>
              <w:spacing w:line="20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地质</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矿物学、岩石学、矿床学，地球化学，古生物学及地层学，构造地质学，第四纪地质学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地质学，构造地质学，古生物学及地层学，地球化学，地球信息科学与技术，古生物学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jc w:val="center"/>
        </w:trPr>
        <w:tc>
          <w:tcPr>
            <w:tcW w:w="673" w:type="dxa"/>
            <w:vAlign w:val="center"/>
          </w:tcPr>
          <w:p>
            <w:pPr>
              <w:widowControl/>
              <w:spacing w:line="20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生物</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科学类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植物学，动物学，生理学，水生生物学，微生物学，神经生物学，遗传学，发育生物学，细胞生物学，生物化学与分子生物学，生物物理学，生态学，生物医学工程，生物学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生物科学，生物技术，生物信息学，生物信息技术，生物科学与生物技术，生物化学与分子生物学，医学信息学，生物资源科学，生物安全，生态学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生物技术及应用，生物实验技术，生物化工工艺，微生物技术及应用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widowControl/>
              <w:spacing w:line="20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系统</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论类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系统理论，系统分析与集成，科学技术史</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系统理论，系统科学与工程，科学技术史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widowControl/>
              <w:spacing w:line="20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心理</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基础心理学，发展与教育心理学，应用心理学，认知神经科学，应用心理</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心理学，应用心理学，基础心理学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应用心理学，心理咨询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统计</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统计学，应用统计</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xml:space="preserve"> 统计学，统计，应用统计学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统计实务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力学类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一般力学与力学基础，固体力学，流体力学，工程力学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理论与应用力学，工程力学，工程结构分析</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6"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（三十三）机械类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机械制造及自动化，机械电子工程，机械设计及理论，车辆工程，机械工程，高级制造技术</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 ，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363" w:type="dxa"/>
            <w:vAlign w:val="center"/>
          </w:tcPr>
          <w:p>
            <w:pPr>
              <w:widowControl/>
              <w:spacing w:line="18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船舶与港口)，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仪器类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精密仪器及机械，测试计量技术及仪器，仪器仪表工程，仪器科学与技术</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材料类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材料物理，钢铁冶金，有色金属冶金，冶金物理化学，金属材料与热处理，金属压力加工，无机非金属材料，硅酸盐工程 ，高分子材料与工程， 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金属材料与热处理技术，冶金技术，高分子材料应用技术，复合材料加工与应用技术，材料工程技术，建筑装饰材料及检测，无机非金属材料工程技术，磨料磨具制造，首饰设计与工艺，高分子材料加工技术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能源</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动力类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工程热物理，热能工程，动力机械及工程，流体机械及工程，制冷及低温工程，化工过程机械，动力工程，动力工程及工程热物理</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能源与动力工程，能源与环境系统工程，风能与动力工程，新能源科学与工程，热能与动力工程，能源工程及自动化，能源动力系统及自动化，能源与资源工程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热能动力设备与应用，城市热能应用技术，农村能源与环境技术，制冷与冷藏技术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电气类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电机与电器，电力系统及其自动化，高电压与绝缘技术，电力电子与电力传动，电工理论与新技术，电气工程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电气工程及其自动化，智能电网信息工程，光源与照明，电气工程与智能控制，电气工程与自动化，电气信息工程，电力工程与管理，电气技术教育，电机电器智能化</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电气技术，电气工程及其自动化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（三十八）电子</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信息类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物理电子学，电路与系统，微电子学与固体电子学，电磁场与微波技术，通信与信息系统，信号与信息处理，电子与通信工程，无线电物流，电子科学与技术，信息与通信工程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（三十九） 自动化类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控制理论与控制工程，控制科学与工程，检测技术与自动化装置，系统工程，模式识别与智能系统，导航、制导与控制，集成电路工程，控制工程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自动化，轨道交通信号与控制，自动控制</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1"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计算机类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计算机系统结构，计算机软件与理论，计算机应用技术，计算机科学与技术，软件工程，计算机与信息管理，计算机技术，应用软件工程，信息安全</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eb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数字游戏设计，电脑游戏技术，影视艺术技术</w:t>
            </w:r>
          </w:p>
        </w:tc>
        <w:tc>
          <w:tcPr>
            <w:tcW w:w="3363" w:type="dxa"/>
            <w:vAlign w:val="center"/>
          </w:tcPr>
          <w:p>
            <w:pPr>
              <w:widowControl/>
              <w:spacing w:line="200" w:lineRule="exact"/>
              <w:rPr>
                <w:rFonts w:hint="default" w:ascii="Times New Roman" w:hAnsi="Times New Roman" w:eastAsia="方正仿宋_GBK" w:cs="Times New Roman"/>
                <w:spacing w:val="-4"/>
                <w:sz w:val="18"/>
                <w:szCs w:val="18"/>
              </w:rPr>
            </w:pPr>
            <w:r>
              <w:rPr>
                <w:rFonts w:hint="default" w:ascii="Times New Roman" w:hAnsi="Times New Roman" w:eastAsia="方正仿宋_GBK" w:cs="Times New Roman"/>
                <w:spacing w:val="-4"/>
                <w:kern w:val="0"/>
                <w:sz w:val="18"/>
                <w:szCs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EB软件技术应用，软件测试，WEB应用程序设计，可视化编程，可视化程序设计，图形图像制作，计算机图形/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土木类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岩土工程，结构工程，市政工程，供热、供燃气、通风及空调工程，防灾减灾工程及防护工程，桥梁与隧道工程，建筑与土木工程，建筑与土木工程领域，土木与环境工程，给排水工程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 ，供热通风与空调工程，城市燃气工程，工业与民用建筑，建筑工程教育，建筑节能技术与工程，建筑工程管理，给排水与采暖通风工程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3"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水利类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水文学及水资源，水力学及河流动力学，水工结构工程，水利水电工程 ，港口、海岸及近海工程，水利工程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测绘类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大地测量学与测量工程，摄影测量与遥感，地图制图学与地理信息工程，测绘工程，测绘科学与技术，土地资源利用与信息技术</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测绘工程，遥感科学与技术，大地测量 ，测量工程，摄影测量与遥感，地图学，土地资源利用与信息技术，导航工程，地理国情监测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化工与</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制药类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化学工程，化学工程领域，化学工艺，生物化工，应用化学，工业催化，制药工程，化学工程与技术，环境技术</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化学工程与工艺，制药工程，油气加工工程，化工与制药，化学工程与工业生物工程，资源循环科学与工程，资源科学与工程，能源化学工程，化学工程 ，化工管理，化工工艺，高分子化工，精细化工，生物化工，工业分析，电化学工程 ，工业催化，化学制药 ，油气储运工程，再生资源科学与技术</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 ，烟花爆竹安全与质量技术，生化制药技术，生物制药技术，化学制药技术，化工分析与监测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地质类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矿产普查与勘探，地球探测与信息技术，地质工程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地质工程，勘查技术与工程，资源勘查工程，地下水科学与工程，煤及煤层气工程，能源与资源工程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矿业类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采矿工程，矿物加工工程，油气井工程，油气田开发工，油气储运工程，矿业工程，石油与天然气工程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采矿工程，石油工程，矿物加工工程，矿物资源工程，海洋油气工程，油气储运工程，煤及煤层气工程，资源勘查工程，地质矿产勘查，石油与天然气地质勘查，矿井建设，选矿工程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境地质工程技术 ，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1"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纺织类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纺织工程，纺织材料与纺织品设计，纺织化学与染整工程，服装设计与工程，服装工程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纺织工程，服装设计与工程，非织造材料与工程，服装设计与工艺教育，纺织类，丝绸工程，针织工程 ，染整工程， 纺织材料及纺织品设计，服装</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轻工类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制浆造纸工程，制糖工程，发酵工程，皮革化学与工程，轻工技术与工程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皮革工程，轻化工程，包装工程，印刷工程，数字印刷，印刷技术</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交通</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运输类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道路与铁道工程，交通信息工程及控制，交通运输规划与管理，载运工具运用工程，交通运输工程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交通运输，交通工程，飞行技术，航海技术，轮机工程，交通设备信息工程，交通建设与装备，载运工具运用工程，海洋船舶驾驶，轮机管理，飞机驾驶，交通设备与控制工程,救助与打捞工程,船舶电子电气工程,总图设计与工业运输</w:t>
            </w:r>
          </w:p>
        </w:tc>
        <w:tc>
          <w:tcPr>
            <w:tcW w:w="3363" w:type="dxa"/>
            <w:vAlign w:val="center"/>
          </w:tcPr>
          <w:p>
            <w:pPr>
              <w:widowControl/>
              <w:spacing w:line="22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8"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海洋</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船舶与海洋结构物设计制造，轮机工程，水声工程，船舶与海洋工程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船舶与海洋工程，海洋工程与技术, 航道工程技术，海洋资源开发技术,港口与航运管理，港口工程技术</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航空</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航天类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飞行器设计，航空宇航推进理论与工程，航空宇航制造工程，人机与环境工程，航空工程，航天工程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7"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兵器类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武器系统与运用工程，兵器发射理论与技术，火炮、自动武器与弹药工程，军事化学与烟火技术，兵器工程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导弹维修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核工</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核能科学与工程，核燃料循环与材料，核技术及应用，辐射防护及环境保护，核能与核技术工程，放射性与有害废料管理, 核资源与核勘查工程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核工程与核技术，核安全工程，工程物理，核化工与核燃料工程，核技术，核反应堆工程，辐射防护与环境工程，辐射防护与核安全</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0"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农业</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农业机械化工程，农业水土工程，农业生物环境与能源工程，农业电气化与自动化，农业工程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林业</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森林工程，木材科学与技术，林产化学加工，林业工程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木材科学与工程，森林工程，林产化工</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林产化工技术，木材加工技术，森林采运工程，森林工程技术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环境科学</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与工程类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环境科学，环境工程，环境管理，生态安全，环境管理与经济，环境经济与环境管理，生态学，工程环境控制</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环境工程，水质科学与技术，环境科学与工程，环境监察，农业环境保护，环境监测，环境规划与管理，生态学，资源环境科学，环境科学，环境生态工程，环保设备工程，地球环境科学，资源科学与工程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生物医学</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生物医学工程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生物医学工程，假肢矫形工程，医疗器械工程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食品科学</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与工程类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食品科学，粮食、油脂及植物蛋白工程，农产品加工及贮藏工程，水产品加工及贮藏工程，食、油脂及植物蛋白工程，食品工程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363" w:type="dxa"/>
            <w:vAlign w:val="center"/>
          </w:tcPr>
          <w:p>
            <w:pPr>
              <w:widowControl/>
              <w:spacing w:line="22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建筑类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建筑历史与理论，建筑设计及其理论，城市规划与设计，建筑技术科学，建筑学，城乡规划学，风景园林学，城市规划，房地产和建筑管理</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建筑学，城市规划，城乡规划，景观设计，历史建筑保护工程，景观建筑设计，景观学，风景园林，城镇建设，园林景观设计，建筑经济管理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城镇建设，城镇规划，建筑装饰技术，建筑经济管理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安全科学</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与工程类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安全科学与工程，安全工程，安全技术及工程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安全工程，安全科学与工程，雷电防护科学与技术，灾害防治工程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救援技术，安全技术管理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（六十一）生物</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生物工程，微生物学与生化药学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生物工程，生物制药，生物系统工程，轻工生物技术</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6"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公安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技术类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刑事技术，刑事科学技术，警犬技术，船艇动力管理，边防机要，消防工程技术，船艇技术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7"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植物</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生产类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设施农业,农业科技组织与服务,农业信息化,种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农学，园艺，植物保护，茶学，烟草，植物科学与技术，种子科学与工程，应用生物科学，设施农业科学与工程，热带作物，果树，蔬菜，观赏园艺 ，土壤与农业化学，药用植物，野生植物资源开发与利用，农艺教育，农产品储运与加工教育，园艺教育，园林教育，植物生物技术，特用作物教育，应用生物教育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自然保护</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与环境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生态类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环境科学与工程，环境科学，环境工程，水土保持与荒漠化防治</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农业资源与环境，野生动物与自然保护区管理，水土保持与荒漠化防治， 植物资源工程，水土保持，沙漠治理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野生植物资源开发与利用，野生动物保护，自然保护区建设与管理，水土保持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动物</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生产类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动物遗传育种与繁殖，动物营养与饲料科学，草业科学，特种经济动物饲养，畜牧学，养殖，农业推广硕士专业（养殖,草业）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动物科学，蚕学，蜂学，动物生物技术，畜禽生产教育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畜牧，饲料与动物营养，特种动物养殖，实验动物养殖，蚕桑技术，动物科学与技术，动物科学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（六十六）动物</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兽医学，基础兽医学，预防兽医学，临床兽医学，兽医</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动物医学,动物药学,动植物检疫，畜牧兽医</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畜牧兽医，兽医医药，动物防疫与检疫，兽药生产与营销，动物医学，宠物养护与疫病防治，兽医，宠物医学，动物养殖与疾病防治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林学类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林木遗传育种，森林培育，森林保护学,森林经理学,野生动植物保护与利用,园林植物与观赏园艺,林业，风景园林，林业硕士专业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林学,森林保护,森林资源保护与游憩,经济林，园林，园林工程，林木生产教育，林学教育，森林资源管理与经济林方向</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森林资源保护，林业技术，园林技术，森林生态旅游，商品花卉，城市园林，林副新产品加工，城市园林规则与设计，园林工程技术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水产类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水产，水产养殖，捕捞学，渔业资源，渔业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水产养殖学，海洋渔业科学与技术，水族科学与技术，水产养殖教育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水产养殖技术，水生动植物保护，海洋捕捞技术，渔业综合技术，城市渔业，水族科学与技术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草学类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草业科学，草学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草学，草业科学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基础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人体解剖与组织胚胎学，免疫学，病原生物学，病理学与病理生理学，放射医学，航空、航天和航海医学，生物医学工程，医学生理学与时间生物学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基础医学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临床</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医学类</w:t>
            </w:r>
          </w:p>
        </w:tc>
        <w:tc>
          <w:tcPr>
            <w:tcW w:w="3684" w:type="dxa"/>
            <w:vAlign w:val="center"/>
          </w:tcPr>
          <w:p>
            <w:pPr>
              <w:widowControl/>
              <w:spacing w:line="240" w:lineRule="exact"/>
              <w:rPr>
                <w:rFonts w:hint="default" w:ascii="Times New Roman" w:hAnsi="Times New Roman" w:eastAsia="方正仿宋_GBK" w:cs="Times New Roman"/>
                <w:spacing w:val="-20"/>
                <w:kern w:val="0"/>
                <w:sz w:val="18"/>
                <w:szCs w:val="18"/>
              </w:rPr>
            </w:pPr>
            <w:r>
              <w:rPr>
                <w:rFonts w:hint="default" w:ascii="Times New Roman" w:hAnsi="Times New Roman" w:eastAsia="方正仿宋_GBK" w:cs="Times New Roman"/>
                <w:spacing w:val="-2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临床医学，麻醉学，放射医学，精神医学，精神病学与精神卫生，儿科医学,医学影像学，眼视光医学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临床医学，麻醉学，社区医疗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口腔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口腔基础医学，口腔临床医学，口腔医学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口腔医学，口腔修复工艺学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口腔医学，口腔医学技术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公共卫生</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与预防</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流行病与卫生统计学，劳动卫生与环境卫生学，营养与食品卫生学，儿少卫生与妇幼保健学，卫生毒理学，军事预防医学，公共卫生</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预防医学，妇幼保健医学，营养与食品卫生，营养学，食品营养与检验教育，食品卫生与营养学，营养、食品与健康，全球健康学，卫生监督</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医学营养，卫生监督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0"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中医学类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xml:space="preserve">中医基础理论，中医临床基础，中医医史文献，方剂学，中医诊断学，中医内科学，中医外科学，中医骨伤科学，中医妇科学，中医儿科学，中医五官科学，针灸推拿学，民族医学，中医耳鼻咽喉科学，针灸学，中医文献，医古文 </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中医学，针灸推拿学，蒙医学，藏医学，维医学，中医养生康复学，推拿学，中医骨伤科学，中医文献学，中医五官科学，中医外科学，壮医学，哈医学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中医学，蒙医学，藏医学，维医学，针灸推拿，中医骨伤，中医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中西医</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结合类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中西医结合基础，中西医结合临床</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中西医临床医学，中西医结合</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中西医结合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药学类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药物化学，药剂学，生药学，药物分析学，微生物与生化药学，药理学，药学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药学，药物制剂，应用药学，药物化学，药物分析学，药物分析，药理学，微生物与生化药学，临床药学，药剂学，海洋药学，生药学，药事管理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药学，药物制剂技术，药品质量检测技术，药物分析技术，食品药品监督管理，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中药学类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中药学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中药学，中草药栽培与鉴定，藏药学，中药资源与开发，蒙药学，中药资源，中药检定，中药药理学，中药资源，中药制药</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中药，维药学，中药鉴定与质量检测技术，现代中药技术，中药制药技术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法医学类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法医学，法医病理学，法医遗传学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法医学，法医病理学，法医遗传学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技术类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医学技术</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检验,医学实验技术,医学影像，医学影像学,眼视光学,康复治疗学,医学实验学,医学技术,医学美容技术,听力学,医学影像工程，医学检验技术，医学影像技术，口腔医学技术，卫生检验与检疫，听力与言语康复学，口腔修复工艺学，卫生检验</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护理学类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护理学，护理</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护理学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护理，助产，高等护理，高级护理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（八十一）管理科学</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与工程类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管理科学与工程，项目管理等工程硕士专业，营运与供应链管理，工程管理硕士专业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管理科学，信息管理与信息系统，工程管理，工程造价，工程造价管理，房地产经营管理，产品质量工程，项目管理，管理科学工程，管理科学与工程,房地产开发与管理,保密管理,控制科学与工程，信息管理工程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工程造价管理，房地产经营与估价，工程造价，项目管理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3"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工商</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工商管理，经营学，市场营销，财务管理，人力资源管理，商品学，审计，审计学，特许经营管理，连锁经营管理，资产评估，企业管理，</w:t>
            </w:r>
            <w:r>
              <w:rPr>
                <w:rFonts w:hint="default" w:ascii="Times New Roman" w:hAnsi="Times New Roman" w:eastAsia="方正仿宋_GBK" w:cs="Times New Roman"/>
                <w:bCs/>
                <w:kern w:val="0"/>
                <w:sz w:val="18"/>
                <w:szCs w:val="18"/>
              </w:rPr>
              <w:t>企业经济管理，</w:t>
            </w:r>
            <w:r>
              <w:rPr>
                <w:rFonts w:hint="default" w:ascii="Times New Roman" w:hAnsi="Times New Roman" w:eastAsia="方正仿宋_GBK" w:cs="Times New Roman"/>
                <w:kern w:val="0"/>
                <w:sz w:val="18"/>
                <w:szCs w:val="18"/>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农业</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经济</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农业经济管理，林业经济管理，农业推广硕士专业（农村与区域发展）</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农林经济管理，农村区域发展，农业经营管理教育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农业经济管理，农村行政管理，乡镇企业管理，林业经济信息管理，渔业资源与渔政管理，农业技术与管理，林业信息工程与管理，都市林业资源与林政管理，农村行政与经济管理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7"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公共</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行政管理，社会医学与卫生事业管理，教育经济与管理，劳动与社会保障，社会保障，土地资源管理，土地管理，公共政策学，社会保障学，管理学，公共管理硕士专业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图书情报</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与档案</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图书馆学，情报学，档案学，图书情报硕士专业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图书馆学，档案学，信息资源管理，科技档案，图书发行出版学，档案</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图书档案管理，档案管理学，档案学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物流管理</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与工程类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物流工程等工程硕士专业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物流管理，物流工程，采购管理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物流管理，国际物流，现代物流管理，物流信息，物流工程技术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工业</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工业工程，工业设计工程等工程硕士专业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工业工程，标准化工程，质量管理工程，总图设计与工业运输，产品质量工程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电子</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商务类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电子商务，电子商务及法律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电子商务，广告经营与管理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旅游</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旅游管理，旅游管理硕士专业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旅游管理，旅游管理与服务教育，酒店管理，会展经济与管理</w:t>
            </w:r>
          </w:p>
        </w:tc>
        <w:tc>
          <w:tcPr>
            <w:tcW w:w="3363" w:type="dxa"/>
            <w:vAlign w:val="center"/>
          </w:tcPr>
          <w:p>
            <w:pPr>
              <w:widowControl/>
              <w:spacing w:line="20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旅游乡村经济，旅游饭店管理，旅游规划策划，旅游景区管理，旅游市场营销，旅游项目投融资管理，旅游温泉经济，游艇游轮经济，旅游自驾车经济，生态旅游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艺术学</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理论类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艺术学，艺术学理论</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艺术学，艺术史论</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音乐与</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舞蹈学类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音乐学，舞蹈学，音乐与舞蹈学， 艺术硕士专业（音乐，舞蹈）</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舞台艺术设计，音乐表演，舞蹈表演，乐器维修技术，钢琴调律，乐器维护服务，钢琴伴奏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8"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戏剧与</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影视学类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戏剧与影视学，戏剧戏曲学，电影学，广播影视文艺学，艺术硕士专业（戏剧，戏曲，电影，广播电视）</w:t>
            </w:r>
          </w:p>
        </w:tc>
        <w:tc>
          <w:tcPr>
            <w:tcW w:w="4083" w:type="dxa"/>
            <w:vAlign w:val="center"/>
          </w:tcPr>
          <w:p>
            <w:pPr>
              <w:widowControl/>
              <w:spacing w:line="240" w:lineRule="exact"/>
              <w:rPr>
                <w:rFonts w:hint="default" w:ascii="Times New Roman" w:hAnsi="Times New Roman" w:eastAsia="方正仿宋_GBK" w:cs="Times New Roman"/>
                <w:spacing w:val="-4"/>
                <w:kern w:val="0"/>
                <w:sz w:val="18"/>
                <w:szCs w:val="18"/>
              </w:rPr>
            </w:pPr>
            <w:r>
              <w:rPr>
                <w:rFonts w:hint="default" w:ascii="Times New Roman" w:hAnsi="Times New Roman" w:eastAsia="方正仿宋_GBK" w:cs="Times New Roman"/>
                <w:spacing w:val="-4"/>
                <w:kern w:val="0"/>
                <w:sz w:val="18"/>
                <w:szCs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表演艺术，音乐表演，播音与主持艺术，主持与播音，服装表演，影视表演，戏曲表演，编导，模特与礼仪，乐器维修技术，杂技表演，钢琴调律，乐器维护服务，钢琴伴奏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（九十三）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美术学类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美术学，艺术硕士专业（美术）</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绘画，雕塑，美术学，摄影，中国画，油画 ，版画，壁画，中国画与书法，书法学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雕塑，美术，摄影，绘画，书画鉴定，书法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（九十四）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设计学类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设计学，设计艺术学，艺术（艺术设计）</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艺术设计学，公共艺术，艺术设计，环境艺术设计，工艺美术，工艺美术学，染织艺术设计， 服装艺术设计，陶瓷艺术设计，装潢艺术设计，装饰艺术设计，会展艺术与技术，装潢设计与工艺教育，艺术与科技，视觉传达设计，环境设计，产品设计，服装与服饰设计，数字媒体艺术</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广告，广告艺术设计，商务形象传播，舞台艺术设计，钟表设计，首饰设计，皮具设计，工艺美术设计，环境艺术设计，室内设计与计算机绘图，室内设计技术</w:t>
            </w:r>
          </w:p>
        </w:tc>
      </w:tr>
    </w:tbl>
    <w:p>
      <w:pPr>
        <w:rPr>
          <w:rFonts w:hint="default" w:ascii="Times New Roman" w:hAnsi="Times New Roman" w:cs="Times New Roman"/>
        </w:rPr>
      </w:pPr>
    </w:p>
    <w:sectPr>
      <w:pgSz w:w="16838" w:h="11906" w:orient="landscape"/>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278B0"/>
    <w:rsid w:val="000054D2"/>
    <w:rsid w:val="00013891"/>
    <w:rsid w:val="000239C1"/>
    <w:rsid w:val="0003027D"/>
    <w:rsid w:val="00066242"/>
    <w:rsid w:val="00066BD8"/>
    <w:rsid w:val="000A20ED"/>
    <w:rsid w:val="000A78CB"/>
    <w:rsid w:val="00100788"/>
    <w:rsid w:val="00137EFD"/>
    <w:rsid w:val="00142C20"/>
    <w:rsid w:val="00151DA7"/>
    <w:rsid w:val="001B4A09"/>
    <w:rsid w:val="001E1283"/>
    <w:rsid w:val="0026056C"/>
    <w:rsid w:val="002668DB"/>
    <w:rsid w:val="0027371F"/>
    <w:rsid w:val="00287CF1"/>
    <w:rsid w:val="002A7323"/>
    <w:rsid w:val="002F1B2B"/>
    <w:rsid w:val="00340C2C"/>
    <w:rsid w:val="00363E95"/>
    <w:rsid w:val="003772B0"/>
    <w:rsid w:val="003832CA"/>
    <w:rsid w:val="003A3189"/>
    <w:rsid w:val="003E04E1"/>
    <w:rsid w:val="00405518"/>
    <w:rsid w:val="00422F5A"/>
    <w:rsid w:val="004262C4"/>
    <w:rsid w:val="004455B3"/>
    <w:rsid w:val="00463433"/>
    <w:rsid w:val="004659A4"/>
    <w:rsid w:val="00466242"/>
    <w:rsid w:val="00475DCB"/>
    <w:rsid w:val="004959C3"/>
    <w:rsid w:val="00570FF2"/>
    <w:rsid w:val="005B07F1"/>
    <w:rsid w:val="005E3254"/>
    <w:rsid w:val="0061779D"/>
    <w:rsid w:val="006278B0"/>
    <w:rsid w:val="00627A4A"/>
    <w:rsid w:val="00652835"/>
    <w:rsid w:val="0065488A"/>
    <w:rsid w:val="006964B3"/>
    <w:rsid w:val="006A1E3E"/>
    <w:rsid w:val="006B5B62"/>
    <w:rsid w:val="006E1063"/>
    <w:rsid w:val="006F2E01"/>
    <w:rsid w:val="006F68C9"/>
    <w:rsid w:val="00702E6B"/>
    <w:rsid w:val="007A7BD6"/>
    <w:rsid w:val="007C172F"/>
    <w:rsid w:val="00820846"/>
    <w:rsid w:val="008571A5"/>
    <w:rsid w:val="00894021"/>
    <w:rsid w:val="0089773B"/>
    <w:rsid w:val="008A0EEA"/>
    <w:rsid w:val="008F2D46"/>
    <w:rsid w:val="0091013F"/>
    <w:rsid w:val="00952412"/>
    <w:rsid w:val="00966FF9"/>
    <w:rsid w:val="00982C9E"/>
    <w:rsid w:val="009C745C"/>
    <w:rsid w:val="009E58D3"/>
    <w:rsid w:val="009F13E4"/>
    <w:rsid w:val="009F7431"/>
    <w:rsid w:val="00A023CC"/>
    <w:rsid w:val="00A36B67"/>
    <w:rsid w:val="00A4130E"/>
    <w:rsid w:val="00A4528D"/>
    <w:rsid w:val="00A837F5"/>
    <w:rsid w:val="00B2031A"/>
    <w:rsid w:val="00B35BF2"/>
    <w:rsid w:val="00B70C56"/>
    <w:rsid w:val="00B849CA"/>
    <w:rsid w:val="00BD7828"/>
    <w:rsid w:val="00C53C3A"/>
    <w:rsid w:val="00C654C9"/>
    <w:rsid w:val="00C74799"/>
    <w:rsid w:val="00C749DB"/>
    <w:rsid w:val="00CD609D"/>
    <w:rsid w:val="00CD65B5"/>
    <w:rsid w:val="00D06E9B"/>
    <w:rsid w:val="00D50C1A"/>
    <w:rsid w:val="00DC37D7"/>
    <w:rsid w:val="00DC6843"/>
    <w:rsid w:val="00E20241"/>
    <w:rsid w:val="00E43B15"/>
    <w:rsid w:val="00E9008B"/>
    <w:rsid w:val="00ED1B42"/>
    <w:rsid w:val="00EF43B1"/>
    <w:rsid w:val="00F41AEB"/>
    <w:rsid w:val="00F53BE8"/>
    <w:rsid w:val="00F65418"/>
    <w:rsid w:val="00F96FFB"/>
    <w:rsid w:val="00FC587F"/>
    <w:rsid w:val="00FC5DB6"/>
    <w:rsid w:val="00FC75BC"/>
    <w:rsid w:val="00FC7C55"/>
    <w:rsid w:val="00FD5E89"/>
    <w:rsid w:val="00FE0A3D"/>
    <w:rsid w:val="012F7BB2"/>
    <w:rsid w:val="0A8F2325"/>
    <w:rsid w:val="0B2F35D0"/>
    <w:rsid w:val="0E2E3163"/>
    <w:rsid w:val="0FD74AA0"/>
    <w:rsid w:val="16B66426"/>
    <w:rsid w:val="1BC15308"/>
    <w:rsid w:val="218F4A77"/>
    <w:rsid w:val="34F823B0"/>
    <w:rsid w:val="36723784"/>
    <w:rsid w:val="3C5C4F09"/>
    <w:rsid w:val="44CE58A0"/>
    <w:rsid w:val="58D57AE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99"/>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8"/>
    <w:semiHidden/>
    <w:uiPriority w:val="99"/>
    <w:rPr>
      <w:sz w:val="18"/>
      <w:szCs w:val="18"/>
    </w:rPr>
  </w:style>
  <w:style w:type="paragraph" w:styleId="3">
    <w:name w:val="footer"/>
    <w:basedOn w:val="1"/>
    <w:link w:val="12"/>
    <w:qFormat/>
    <w:uiPriority w:val="99"/>
    <w:pPr>
      <w:tabs>
        <w:tab w:val="center" w:pos="4153"/>
        <w:tab w:val="right" w:pos="8306"/>
      </w:tabs>
      <w:snapToGrid w:val="0"/>
      <w:jc w:val="left"/>
    </w:pPr>
    <w:rPr>
      <w:rFonts w:ascii="Calibri" w:hAnsi="Calibri"/>
      <w:kern w:val="0"/>
      <w:sz w:val="18"/>
      <w:szCs w:val="20"/>
    </w:rPr>
  </w:style>
  <w:style w:type="paragraph" w:styleId="4">
    <w:name w:val="header"/>
    <w:basedOn w:val="1"/>
    <w:link w:val="14"/>
    <w:qFormat/>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character" w:styleId="7">
    <w:name w:val="Hyperlink"/>
    <w:basedOn w:val="6"/>
    <w:qFormat/>
    <w:uiPriority w:val="99"/>
    <w:rPr>
      <w:rFonts w:cs="Times New Roman"/>
      <w:color w:val="0000FF"/>
      <w:u w:val="single"/>
    </w:rPr>
  </w:style>
  <w:style w:type="character" w:customStyle="1" w:styleId="8">
    <w:name w:val="Balloon Text Char"/>
    <w:basedOn w:val="6"/>
    <w:link w:val="2"/>
    <w:semiHidden/>
    <w:qFormat/>
    <w:locked/>
    <w:uiPriority w:val="99"/>
    <w:rPr>
      <w:rFonts w:ascii="Times New Roman" w:hAnsi="Times New Roman" w:eastAsia="宋体" w:cs="Times New Roman"/>
      <w:sz w:val="18"/>
      <w:szCs w:val="18"/>
    </w:rPr>
  </w:style>
  <w:style w:type="character" w:customStyle="1" w:styleId="9">
    <w:name w:val="Footer Char"/>
    <w:basedOn w:val="6"/>
    <w:link w:val="3"/>
    <w:qFormat/>
    <w:locked/>
    <w:uiPriority w:val="99"/>
    <w:rPr>
      <w:sz w:val="18"/>
    </w:rPr>
  </w:style>
  <w:style w:type="character" w:customStyle="1" w:styleId="10">
    <w:name w:val="Header Char"/>
    <w:basedOn w:val="6"/>
    <w:link w:val="4"/>
    <w:qFormat/>
    <w:locked/>
    <w:uiPriority w:val="99"/>
    <w:rPr>
      <w:sz w:val="18"/>
    </w:rPr>
  </w:style>
  <w:style w:type="character" w:customStyle="1" w:styleId="11">
    <w:name w:val="Footer Char1"/>
    <w:basedOn w:val="6"/>
    <w:link w:val="3"/>
    <w:semiHidden/>
    <w:qFormat/>
    <w:locked/>
    <w:uiPriority w:val="99"/>
    <w:rPr>
      <w:rFonts w:ascii="Times New Roman" w:hAnsi="Times New Roman" w:cs="Times New Roman"/>
      <w:sz w:val="18"/>
      <w:szCs w:val="18"/>
    </w:rPr>
  </w:style>
  <w:style w:type="character" w:customStyle="1" w:styleId="12">
    <w:name w:val="Footer Char2"/>
    <w:basedOn w:val="6"/>
    <w:link w:val="3"/>
    <w:semiHidden/>
    <w:qFormat/>
    <w:locked/>
    <w:uiPriority w:val="99"/>
    <w:rPr>
      <w:rFonts w:ascii="Times New Roman" w:hAnsi="Times New Roman" w:eastAsia="宋体" w:cs="Times New Roman"/>
      <w:sz w:val="18"/>
      <w:szCs w:val="18"/>
    </w:rPr>
  </w:style>
  <w:style w:type="character" w:customStyle="1" w:styleId="13">
    <w:name w:val="Header Char1"/>
    <w:basedOn w:val="6"/>
    <w:link w:val="4"/>
    <w:semiHidden/>
    <w:qFormat/>
    <w:locked/>
    <w:uiPriority w:val="99"/>
    <w:rPr>
      <w:rFonts w:ascii="Times New Roman" w:hAnsi="Times New Roman" w:cs="Times New Roman"/>
      <w:sz w:val="18"/>
      <w:szCs w:val="18"/>
    </w:rPr>
  </w:style>
  <w:style w:type="character" w:customStyle="1" w:styleId="14">
    <w:name w:val="Header Char2"/>
    <w:basedOn w:val="6"/>
    <w:link w:val="4"/>
    <w:semiHidden/>
    <w:qFormat/>
    <w:locked/>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25</Pages>
  <Words>3324</Words>
  <Characters>18947</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2018-03-16T03:01:00Z</dcterms:created>
  <dc:creator>微软用户</dc:creator>
  <cp:lastModifiedBy>Administrator</cp:lastModifiedBy>
  <cp:lastPrinted>2018-09-25T10:20:00Z</cp:lastPrinted>
  <dcterms:modified xsi:type="dcterms:W3CDTF">2021-06-15T08:28:26Z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F31196EAED5B46ED993007C88CC33681</vt:lpwstr>
  </property>
</Properties>
</file>