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560" w:lineRule="exact"/>
        <w:ind w:left="0" w:right="0"/>
        <w:jc w:val="left"/>
        <w:textAlignment w:val="baseline"/>
      </w:pPr>
      <w:r>
        <w:rPr>
          <w:rFonts w:ascii="仿宋_GB2312" w:hAnsi="Calibri" w:eastAsia="仿宋_GB2312" w:cs="仿宋_GB2312"/>
          <w:color w:val="000000"/>
          <w:kern w:val="2"/>
          <w:sz w:val="32"/>
          <w:szCs w:val="32"/>
          <w:vertAlign w:val="baseline"/>
          <w:lang w:val="en-US" w:eastAsia="zh-CN" w:bidi="ar"/>
        </w:rPr>
        <w:t>附件</w:t>
      </w:r>
      <w:r>
        <w:rPr>
          <w:rFonts w:hint="default" w:ascii="仿宋_GB2312" w:hAnsi="Calibri" w:eastAsia="仿宋_GB2312" w:cs="仿宋_GB2312"/>
          <w:color w:val="000000"/>
          <w:kern w:val="2"/>
          <w:sz w:val="32"/>
          <w:szCs w:val="32"/>
          <w:vertAlign w:val="baseline"/>
          <w:lang w:val="en-US" w:eastAsia="zh-CN" w:bidi="ar"/>
        </w:rPr>
        <w:t>1</w:t>
      </w:r>
    </w:p>
    <w:p>
      <w:pPr>
        <w:keepNext w:val="0"/>
        <w:keepLines w:val="0"/>
        <w:widowControl/>
        <w:suppressLineNumbers w:val="0"/>
        <w:spacing w:before="0" w:beforeAutospacing="1" w:after="0" w:afterAutospacing="1" w:line="560" w:lineRule="exact"/>
        <w:ind w:left="0" w:right="0"/>
        <w:jc w:val="center"/>
        <w:textAlignment w:val="baseline"/>
      </w:pPr>
      <w:r>
        <w:rPr>
          <w:rFonts w:hint="eastAsia" w:ascii="宋体" w:hAnsi="宋体" w:eastAsia="宋体" w:cs="宋体"/>
          <w:b/>
          <w:bCs w:val="0"/>
          <w:color w:val="000000"/>
          <w:kern w:val="2"/>
          <w:sz w:val="44"/>
          <w:szCs w:val="44"/>
          <w:vertAlign w:val="baseline"/>
          <w:lang w:val="en-US" w:eastAsia="zh-CN" w:bidi="ar"/>
        </w:rPr>
        <w:t>2021年湘潭大学附属实验学校</w:t>
      </w:r>
    </w:p>
    <w:p>
      <w:pPr>
        <w:keepNext w:val="0"/>
        <w:keepLines w:val="0"/>
        <w:widowControl/>
        <w:suppressLineNumbers w:val="0"/>
        <w:spacing w:before="0" w:beforeAutospacing="1" w:after="0" w:afterAutospacing="1" w:line="560" w:lineRule="exact"/>
        <w:ind w:left="0" w:right="0"/>
        <w:jc w:val="center"/>
        <w:textAlignment w:val="baseline"/>
      </w:pPr>
      <w:r>
        <w:rPr>
          <w:rFonts w:hint="eastAsia" w:ascii="宋体" w:hAnsi="宋体" w:eastAsia="宋体" w:cs="宋体"/>
          <w:b/>
          <w:bCs w:val="0"/>
          <w:color w:val="000000"/>
          <w:kern w:val="2"/>
          <w:sz w:val="44"/>
          <w:szCs w:val="44"/>
          <w:vertAlign w:val="baseline"/>
          <w:lang w:val="en-US" w:eastAsia="zh-CN" w:bidi="ar"/>
        </w:rPr>
        <w:t>面向全市公开选调优秀教师岗位表</w:t>
      </w:r>
    </w:p>
    <w:tbl>
      <w:tblPr>
        <w:tblW w:w="8079" w:type="dxa"/>
        <w:tblInd w:w="98" w:type="dxa"/>
        <w:shd w:val="clear"/>
        <w:tblLayout w:type="fixed"/>
        <w:tblCellMar>
          <w:top w:w="0" w:type="dxa"/>
          <w:left w:w="0" w:type="dxa"/>
          <w:bottom w:w="0" w:type="dxa"/>
          <w:right w:w="0" w:type="dxa"/>
        </w:tblCellMar>
      </w:tblPr>
      <w:tblGrid>
        <w:gridCol w:w="4819"/>
        <w:gridCol w:w="3260"/>
      </w:tblGrid>
      <w:tr>
        <w:tblPrEx>
          <w:shd w:val="clear"/>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center"/>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教师岗位</w:t>
            </w:r>
          </w:p>
        </w:tc>
        <w:tc>
          <w:tcPr>
            <w:tcW w:w="3260" w:type="dxa"/>
            <w:tcBorders>
              <w:top w:val="single" w:color="000000" w:sz="4" w:space="0"/>
              <w:left w:val="nil"/>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宋体" w:eastAsia="仿宋_GB2312" w:cs="宋体"/>
                <w:color w:val="000000"/>
                <w:kern w:val="2"/>
                <w:sz w:val="28"/>
                <w:szCs w:val="28"/>
                <w:bdr w:val="none" w:color="auto" w:sz="0" w:space="0"/>
                <w:lang w:val="en-US" w:eastAsia="zh-CN" w:bidi="ar"/>
              </w:rPr>
              <w:t>选调人数</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小学语文</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7</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小学数学</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3</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小学科学</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初中地理</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高中音乐（声乐方向）</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高中美术</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中学体育</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2</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小学体育</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高中数学</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2</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高中政治</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高中历史</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高中生物</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高中信息技术</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1</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Arial"/>
                <w:color w:val="000000"/>
                <w:kern w:val="0"/>
                <w:sz w:val="28"/>
                <w:szCs w:val="28"/>
                <w:bdr w:val="none" w:color="auto" w:sz="0" w:space="0"/>
                <w:lang w:val="en-US" w:eastAsia="zh-CN" w:bidi="ar"/>
              </w:rPr>
              <w:t>高中学科正高级教师或特级教师</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2</w:t>
            </w:r>
          </w:p>
        </w:tc>
      </w:tr>
      <w:tr>
        <w:tblPrEx>
          <w:tblCellMar>
            <w:top w:w="0" w:type="dxa"/>
            <w:left w:w="0" w:type="dxa"/>
            <w:bottom w:w="0" w:type="dxa"/>
            <w:right w:w="0" w:type="dxa"/>
          </w:tblCellMar>
        </w:tblPrEx>
        <w:trPr>
          <w:trHeight w:val="567" w:hRule="atLeast"/>
        </w:trPr>
        <w:tc>
          <w:tcPr>
            <w:tcW w:w="4819" w:type="dxa"/>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宋体" w:eastAsia="仿宋_GB2312" w:cs="宋体"/>
                <w:color w:val="000000"/>
                <w:kern w:val="0"/>
                <w:sz w:val="28"/>
                <w:szCs w:val="28"/>
                <w:bdr w:val="none" w:color="auto" w:sz="0" w:space="0"/>
                <w:lang w:val="en-US" w:eastAsia="zh-CN" w:bidi="ar"/>
              </w:rPr>
              <w:t>合计</w:t>
            </w:r>
          </w:p>
        </w:tc>
        <w:tc>
          <w:tcPr>
            <w:tcW w:w="3260" w:type="dxa"/>
            <w:tcBorders>
              <w:top w:val="single" w:color="000000" w:sz="4" w:space="0"/>
              <w:left w:val="nil"/>
              <w:bottom w:val="single" w:color="000000" w:sz="4" w:space="0"/>
              <w:right w:val="single" w:color="000000" w:sz="4" w:space="0"/>
            </w:tcBorders>
            <w:shd w:val="clear"/>
            <w:noWrap/>
            <w:tcMar>
              <w:top w:w="10" w:type="dxa"/>
              <w:left w:w="10" w:type="dxa"/>
              <w:right w:w="10" w:type="dxa"/>
            </w:tcMar>
            <w:vAlign w:val="bottom"/>
          </w:tcPr>
          <w:p>
            <w:pPr>
              <w:keepNext w:val="0"/>
              <w:keepLines w:val="0"/>
              <w:widowControl/>
              <w:suppressLineNumbers w:val="0"/>
              <w:spacing w:before="0" w:beforeAutospacing="1" w:after="0" w:afterAutospacing="1" w:line="560" w:lineRule="exact"/>
              <w:ind w:left="0" w:right="0"/>
              <w:jc w:val="center"/>
              <w:textAlignment w:val="bottom"/>
            </w:pPr>
            <w:r>
              <w:rPr>
                <w:rFonts w:hint="default" w:ascii="仿宋_GB2312" w:hAnsi="Arial" w:eastAsia="仿宋_GB2312" w:cs="仿宋_GB2312"/>
                <w:color w:val="000000"/>
                <w:kern w:val="2"/>
                <w:sz w:val="28"/>
                <w:szCs w:val="28"/>
                <w:bdr w:val="none" w:color="auto" w:sz="0" w:space="0"/>
                <w:lang w:val="en-US" w:eastAsia="zh-CN" w:bidi="ar"/>
              </w:rPr>
              <w:t>25</w:t>
            </w:r>
          </w:p>
        </w:tc>
      </w:tr>
    </w:tbl>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备注：除高中学科正高级教师或特级教师岗位以外，其余岗位均要求考生教育教学工作经历、相关资质与所报考岗位学科一致。</w:t>
      </w:r>
    </w:p>
    <w:p>
      <w:pPr>
        <w:keepNext w:val="0"/>
        <w:keepLines w:val="0"/>
        <w:widowControl/>
        <w:suppressLineNumbers w:val="0"/>
        <w:spacing w:before="0" w:beforeAutospacing="1" w:after="0" w:afterAutospacing="1" w:line="560" w:lineRule="exact"/>
        <w:ind w:left="0" w:right="0"/>
        <w:jc w:val="left"/>
        <w:textAlignment w:val="baseline"/>
      </w:pPr>
      <w:r>
        <w:rPr>
          <w:rFonts w:hint="default" w:ascii="仿宋_GB2312" w:hAnsi="Calibri" w:eastAsia="仿宋_GB2312" w:cs="Times New Roman"/>
          <w:color w:val="000000"/>
          <w:kern w:val="2"/>
          <w:sz w:val="32"/>
          <w:szCs w:val="32"/>
          <w:vertAlign w:val="baseline"/>
          <w:lang w:val="en-US" w:eastAsia="zh-CN" w:bidi="ar"/>
        </w:rPr>
        <w:t xml:space="preserve"> </w:t>
      </w:r>
    </w:p>
    <w:p>
      <w:pPr>
        <w:keepNext w:val="0"/>
        <w:keepLines w:val="0"/>
        <w:widowControl/>
        <w:suppressLineNumbers w:val="0"/>
        <w:spacing w:before="0" w:beforeAutospacing="1" w:after="0" w:afterAutospacing="1" w:line="560" w:lineRule="exact"/>
        <w:ind w:left="0" w:right="0"/>
        <w:jc w:val="left"/>
        <w:textAlignment w:val="baseline"/>
      </w:pPr>
      <w:r>
        <w:rPr>
          <w:rFonts w:hint="default" w:ascii="仿宋_GB2312" w:hAnsi="Calibri" w:eastAsia="仿宋_GB2312" w:cs="仿宋_GB2312"/>
          <w:color w:val="000000"/>
          <w:kern w:val="2"/>
          <w:sz w:val="32"/>
          <w:szCs w:val="32"/>
          <w:vertAlign w:val="baseline"/>
          <w:lang w:val="en-US" w:eastAsia="zh-CN" w:bidi="ar"/>
        </w:rPr>
        <w:t>附件2</w:t>
      </w:r>
    </w:p>
    <w:p>
      <w:pPr>
        <w:keepNext w:val="0"/>
        <w:keepLines w:val="0"/>
        <w:widowControl/>
        <w:suppressLineNumbers w:val="0"/>
        <w:spacing w:before="0" w:beforeAutospacing="1" w:after="0" w:afterAutospacing="1" w:line="560" w:lineRule="exact"/>
        <w:ind w:left="0" w:right="0"/>
        <w:jc w:val="center"/>
        <w:textAlignment w:val="baseline"/>
      </w:pPr>
      <w:r>
        <w:rPr>
          <w:rFonts w:hint="eastAsia" w:ascii="宋体" w:hAnsi="宋体" w:eastAsia="宋体" w:cs="宋体"/>
          <w:b/>
          <w:bCs w:val="0"/>
          <w:color w:val="000000"/>
          <w:kern w:val="2"/>
          <w:sz w:val="44"/>
          <w:szCs w:val="44"/>
          <w:vertAlign w:val="baseline"/>
          <w:lang w:val="en-US" w:eastAsia="zh-CN" w:bidi="ar"/>
        </w:rPr>
        <w:t>湘潭大学附属实验学校简介</w:t>
      </w:r>
    </w:p>
    <w:p>
      <w:pPr>
        <w:keepNext w:val="0"/>
        <w:keepLines w:val="0"/>
        <w:widowControl/>
        <w:suppressLineNumbers w:val="0"/>
        <w:spacing w:before="0" w:beforeAutospacing="1" w:after="0" w:afterAutospacing="1" w:line="560" w:lineRule="exact"/>
        <w:ind w:left="0" w:right="0" w:firstLine="480" w:firstLineChars="200"/>
        <w:jc w:val="left"/>
        <w:textAlignment w:val="baseline"/>
      </w:pPr>
      <w:r>
        <w:rPr>
          <w:rFonts w:hint="default" w:ascii="Calibri" w:hAnsi="Calibri" w:eastAsia="宋体" w:cs="Times New Roman"/>
          <w:color w:val="000000"/>
          <w:kern w:val="2"/>
          <w:sz w:val="24"/>
          <w:szCs w:val="24"/>
          <w:vertAlign w:val="baseline"/>
          <w:lang w:val="en-US" w:eastAsia="zh-CN" w:bidi="ar"/>
        </w:rPr>
        <w:t xml:space="preserve"> </w:t>
      </w:r>
    </w:p>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湘潭大学附属实验学校，是为积极回应人民群众对优质教育的热切期盼，在湖南省委省政府领导亲切关怀下，由湘潭市人民政府和湘潭大学共同建设、湘潭市教育局主管、长沙市第一中学全面支持的一所高起点、高标准、高品质现代化学校，定于2021年9月正式开学。</w:t>
      </w:r>
    </w:p>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学校位于湘潭市雨湖区高岭路，占地180余亩，投资4亿余元，是一所按照省级一类学校标准建设的小学、初中、高中十二年一贯制全日制公办学校，设计办学规模为90个教学班。</w:t>
      </w:r>
    </w:p>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学校根植红色大地，秉承百年名校长沙市一中优良办学传统和成熟育人模式，弘扬“公勇勤朴”校训，以“严谨、务实、规范、创新”为校风，以“崇尚自然，自主生长，健康幸福，追求卓越”为育人理念，整合湘潭大学、长沙市一中和湘大附属实验学校优质教育资源，突出责任意识、实践能力、创新精神的激发与锻炼，努力培养以“人格自尊、学习自主、行为自律、生活自理、管理自治”为特色的具有家国情怀、国际视野和创新精神的时代新人。</w:t>
      </w:r>
    </w:p>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湘潭市教育局聘请长沙市一中校长助理罗烈同志担任湘潭大学附属实验学校校长。罗烈同志历任青竹湖湘一外国语学校、湘一芙蓉中学等集团校副校长、校长，精通管理，创新能力强，被评为长沙市优秀校长。聘请长沙市一中教科室主任廖晨星同志担任教学副校长。廖晨星同志是“全国科研型骨干教师”“全国百佳语文教师”，系省基础教育网络名师工作室首席名师、省示范性普通高中网络督导评估首席专家，2项成果在基础教育国家级教学成果奖评选中皆获国家级二等奖。</w:t>
      </w:r>
    </w:p>
    <w:p>
      <w:pPr>
        <w:keepNext w:val="0"/>
        <w:keepLines w:val="0"/>
        <w:widowControl/>
        <w:suppressLineNumbers w:val="0"/>
        <w:spacing w:before="0" w:beforeAutospacing="1" w:after="0" w:afterAutospacing="1" w:line="560" w:lineRule="exact"/>
        <w:ind w:left="0" w:right="0" w:firstLine="640" w:firstLineChars="200"/>
        <w:jc w:val="left"/>
        <w:textAlignment w:val="baseline"/>
      </w:pPr>
      <w:r>
        <w:rPr>
          <w:rFonts w:hint="default" w:ascii="仿宋_GB2312" w:hAnsi="Calibri" w:eastAsia="仿宋_GB2312" w:cs="仿宋_GB2312"/>
          <w:color w:val="000000"/>
          <w:kern w:val="2"/>
          <w:sz w:val="32"/>
          <w:szCs w:val="32"/>
          <w:vertAlign w:val="baseline"/>
          <w:lang w:val="en-US" w:eastAsia="zh-CN" w:bidi="ar"/>
        </w:rPr>
        <w:t>学校将严聘良师，建立以学生为中心的运行机制。充分利用长沙市一中优质教育资源，组建“学科首席教师”管理团队，全面负责各学科教学。与长沙市一中实现统一备课、统一进度、统一内容、统一评价。</w:t>
      </w:r>
      <w:r>
        <w:rPr>
          <w:rFonts w:hint="default" w:ascii="仿宋_GB2312" w:hAnsi="Arial" w:eastAsia="仿宋_GB2312" w:cs="仿宋_GB2312"/>
          <w:color w:val="000000"/>
          <w:kern w:val="0"/>
          <w:sz w:val="32"/>
          <w:szCs w:val="32"/>
          <w:vertAlign w:val="baseline"/>
          <w:lang w:val="en-US" w:eastAsia="zh-CN" w:bidi="ar"/>
        </w:rPr>
        <w:t>坚持“健康第一”、阳光体育，确保每个学生都能得到锻炼，健康成长；实行“导师制”“小班化”，确保每一位学生都能得到关心，茁壮成长；实施“自主合作探究式”学习，确保每个学生都能得到发展，创新成长；强化以“中华传统文化”“外教口语”等为特色的人文学科教育和以数学思维培养为基础的自然科学教育，确保每个学生的核心素养都能得到培养，全面成长；开展国际交流，拓宽视野，确保每个学生都能初步具备面向世界的开放意识，开放成长。</w:t>
      </w:r>
    </w:p>
    <w:p>
      <w:pPr>
        <w:keepNext w:val="0"/>
        <w:keepLines w:val="0"/>
        <w:widowControl/>
        <w:suppressLineNumbers w:val="0"/>
        <w:spacing w:before="0" w:beforeAutospacing="1" w:after="0" w:afterAutospacing="1" w:line="560" w:lineRule="exact"/>
        <w:ind w:left="0" w:right="0" w:firstLine="560" w:firstLineChars="175"/>
        <w:jc w:val="left"/>
        <w:textAlignment w:val="baseline"/>
      </w:pPr>
      <w:r>
        <w:rPr>
          <w:rFonts w:hint="default" w:ascii="仿宋_GB2312" w:hAnsi="Calibri" w:eastAsia="仿宋_GB2312" w:cs="仿宋_GB2312"/>
          <w:color w:val="000000"/>
          <w:kern w:val="2"/>
          <w:sz w:val="32"/>
          <w:szCs w:val="32"/>
          <w:vertAlign w:val="baseline"/>
          <w:lang w:val="en-US" w:eastAsia="zh-CN" w:bidi="ar"/>
        </w:rPr>
        <w:t>学校正朝着“实验性、示范性、优质化、国际化”“省内一流、全国知名”“师生幸福、社会满意”的品牌学校努力迈进！</w:t>
      </w:r>
    </w:p>
    <w:p>
      <w:pPr>
        <w:rPr>
          <w:rFonts w:ascii="宋体" w:hAnsi="宋体" w:eastAsia="宋体" w:cs="宋体"/>
          <w:sz w:val="24"/>
          <w:szCs w:val="24"/>
        </w:rPr>
      </w:pPr>
      <w:r>
        <w:rPr>
          <w:rFonts w:ascii="宋体" w:hAnsi="宋体" w:eastAsia="宋体" w:cs="宋体"/>
          <w:sz w:val="24"/>
          <w:szCs w:val="24"/>
        </w:rPr>
        <w:drawing>
          <wp:inline distT="0" distB="0" distL="114300" distR="114300">
            <wp:extent cx="5467350" cy="35147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67350" cy="3514725"/>
                    </a:xfrm>
                    <a:prstGeom prst="rect">
                      <a:avLst/>
                    </a:prstGeom>
                    <a:noFill/>
                    <a:ln w="9525">
                      <a:noFill/>
                    </a:ln>
                  </pic:spPr>
                </pic:pic>
              </a:graphicData>
            </a:graphic>
          </wp:inline>
        </w:drawing>
      </w:r>
    </w:p>
    <w:p>
      <w:pPr>
        <w:rPr>
          <w:rFonts w:ascii="宋体" w:hAnsi="宋体" w:eastAsia="宋体" w:cs="宋体"/>
          <w:sz w:val="24"/>
          <w:szCs w:val="24"/>
        </w:rPr>
      </w:pPr>
      <w:r>
        <w:rPr>
          <w:rFonts w:ascii="宋体" w:hAnsi="宋体" w:eastAsia="宋体" w:cs="宋体"/>
          <w:sz w:val="24"/>
          <w:szCs w:val="24"/>
        </w:rPr>
        <w:drawing>
          <wp:inline distT="0" distB="0" distL="114300" distR="114300">
            <wp:extent cx="5467350" cy="3571875"/>
            <wp:effectExtent l="0" t="0" r="0" b="952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5467350" cy="3571875"/>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EA7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Thinkpad</dc:creator>
  <cp:lastModifiedBy>非也</cp:lastModifiedBy>
  <dcterms:modified xsi:type="dcterms:W3CDTF">2021-08-06T01:22:51Z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196574F719F2488C89B34EF36CED4461</vt:lpwstr>
  </property>
</Properties>
</file>