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非师范类应聘对象的专业要求</w:t>
      </w:r>
    </w:p>
    <w:bookmarkEnd w:id="0"/>
    <w:tbl>
      <w:tblPr>
        <w:tblW w:w="90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73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</w:t>
            </w:r>
          </w:p>
        </w:tc>
        <w:tc>
          <w:tcPr>
            <w:tcW w:w="7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对应专业及大类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人文教育；中国语言文学类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理学、工学学科门类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理学、工学、农学学科门类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地理科学类、大气科学类、地球物理学类；地理学类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人文教育；政治学类、社会学类、马克思主义理论类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物联网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电子信息类、计算机类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信息技术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教育技术学；电子信息类、计算机类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通用技术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教育技术学；计算机类、机械类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心理健康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心理健康教育；心理学类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机电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机械类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85CBC"/>
    <w:rsid w:val="2CB8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2021-09-19T09:45:00Z</dcterms:created>
  <dc:creator>美美</dc:creator>
  <cp:lastModifiedBy>美美</cp:lastModifiedBy>
  <dcterms:modified xsi:type="dcterms:W3CDTF">2021-09-19T09:45:45Z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413B546CFF0B4F4197EB12F5C2233EF9</vt:lpwstr>
  </property>
</Properties>
</file>