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bdr w:val="none" w:color="auto" w:sz="0" w:space="0"/>
        </w:rPr>
        <w:t>附件1</w:t>
      </w:r>
    </w:p>
    <w:tbl>
      <w:tblPr>
        <w:tblW w:w="5000" w:type="pct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6"/>
        <w:gridCol w:w="702"/>
        <w:gridCol w:w="316"/>
        <w:gridCol w:w="661"/>
        <w:gridCol w:w="1280"/>
        <w:gridCol w:w="1759"/>
        <w:gridCol w:w="1579"/>
        <w:gridCol w:w="13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gridSpan w:val="8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bookmarkStart w:id="0" w:name="_GoBack"/>
            <w:bookmarkEnd w:id="0"/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邱县2021年博硕人才补充公告岗位需求表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用人单位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薪酬待遇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邱县第一中学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相应专业 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硕士研究生及以上学历学位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热爱教育事业，有丰富的教学经验。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事业单位工资待遇+绩效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0310-8399160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B84D73"/>
    <w:rsid w:val="45B84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2021-09-26T05:44:00Z</dcterms:created>
  <dc:creator>J</dc:creator>
  <cp:lastModifiedBy>J</cp:lastModifiedBy>
  <dcterms:modified xsi:type="dcterms:W3CDTF">2021-09-26T05:44:53Z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4FA9353FB0404CF8957AB37354B5A5FA</vt:lpwstr>
  </property>
</Properties>
</file>