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597" w:rsidRDefault="001C4597" w:rsidP="001C4597">
      <w:pPr>
        <w:snapToGrid w:val="0"/>
        <w:spacing w:line="54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1A3AF4"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32"/>
        </w:rPr>
        <w:t>4</w:t>
      </w:r>
      <w:r w:rsidRPr="001A3AF4">
        <w:rPr>
          <w:rFonts w:ascii="仿宋_GB2312" w:eastAsia="仿宋_GB2312" w:hAnsi="宋体" w:hint="eastAsia"/>
          <w:sz w:val="32"/>
          <w:szCs w:val="32"/>
        </w:rPr>
        <w:t>：</w:t>
      </w:r>
    </w:p>
    <w:p w:rsidR="001C4597" w:rsidRPr="004B3988" w:rsidRDefault="001C4597" w:rsidP="001C4597">
      <w:pPr>
        <w:widowControl/>
        <w:adjustRightInd w:val="0"/>
        <w:snapToGrid w:val="0"/>
        <w:spacing w:line="300" w:lineRule="auto"/>
        <w:jc w:val="center"/>
        <w:outlineLvl w:val="0"/>
        <w:rPr>
          <w:rFonts w:ascii="宋体" w:hAnsi="宋体" w:cs="宋体"/>
          <w:b/>
          <w:bCs/>
          <w:kern w:val="36"/>
          <w:sz w:val="44"/>
          <w:szCs w:val="44"/>
        </w:rPr>
      </w:pPr>
      <w:r w:rsidRPr="004B3988">
        <w:rPr>
          <w:rFonts w:ascii="宋体" w:hAnsi="宋体" w:cs="宋体"/>
          <w:b/>
          <w:bCs/>
          <w:kern w:val="36"/>
          <w:sz w:val="44"/>
          <w:szCs w:val="44"/>
        </w:rPr>
        <w:t>粤省事“粤康码”操作指引</w:t>
      </w:r>
    </w:p>
    <w:p w:rsidR="001C4597" w:rsidRPr="00B905DA" w:rsidRDefault="001C4597" w:rsidP="001C4597">
      <w:pPr>
        <w:widowControl/>
        <w:adjustRightInd w:val="0"/>
        <w:snapToGrid w:val="0"/>
        <w:spacing w:line="300" w:lineRule="auto"/>
        <w:jc w:val="center"/>
        <w:rPr>
          <w:rFonts w:ascii="宋体" w:hAnsi="宋体" w:cs="宋体"/>
          <w:color w:val="8E8E8E"/>
          <w:kern w:val="0"/>
          <w:szCs w:val="21"/>
        </w:rPr>
      </w:pPr>
    </w:p>
    <w:p w:rsidR="001C4597" w:rsidRPr="00B905DA" w:rsidRDefault="001C4597" w:rsidP="001C4597">
      <w:pPr>
        <w:widowControl/>
        <w:shd w:val="clear" w:color="auto" w:fill="FFFFFF"/>
        <w:adjustRightInd w:val="0"/>
        <w:snapToGrid w:val="0"/>
        <w:spacing w:line="300" w:lineRule="auto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</w:t>
      </w:r>
      <w:r w:rsidRPr="00B905DA">
        <w:rPr>
          <w:rFonts w:ascii="微软雅黑" w:eastAsia="微软雅黑" w:hAnsi="微软雅黑" w:cs="宋体" w:hint="eastAsia"/>
          <w:b/>
          <w:bCs/>
          <w:color w:val="424242"/>
          <w:kern w:val="0"/>
          <w:sz w:val="27"/>
        </w:rPr>
        <w:t>（一）粤省事“粤康码”访问入口</w:t>
      </w:r>
    </w:p>
    <w:p w:rsidR="001C4597" w:rsidRPr="00B905DA" w:rsidRDefault="001C4597" w:rsidP="001C4597">
      <w:pPr>
        <w:widowControl/>
        <w:shd w:val="clear" w:color="auto" w:fill="FFFFFF"/>
        <w:adjustRightInd w:val="0"/>
        <w:snapToGrid w:val="0"/>
        <w:spacing w:line="300" w:lineRule="auto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1．使用微信扫描以下小程序码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</w:t>
      </w: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drawing>
          <wp:inline distT="0" distB="0" distL="0" distR="0">
            <wp:extent cx="2066925" cy="2085975"/>
            <wp:effectExtent l="19050" t="0" r="9525" b="0"/>
            <wp:docPr id="2" name="图片 2" descr="粤康码使用指引（第五版）20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粤康码使用指引（第五版）2066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adjustRightInd w:val="0"/>
        <w:snapToGrid w:val="0"/>
        <w:spacing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图2-1 粤省事“粤康码”小程序码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2．在微信搜索“粤省事”小程序，打开该小程序后点击“粤康码”，或在“疫情防控服务专区”页面访问“我的粤康码”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</w:t>
      </w: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drawing>
          <wp:inline distT="0" distB="0" distL="0" distR="0">
            <wp:extent cx="1781175" cy="3276600"/>
            <wp:effectExtent l="19050" t="0" r="9525" b="0"/>
            <wp:docPr id="3" name="图片 3" descr="粤康码使用指引（第五版）2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粤康码使用指引（第五版）214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图2-2 粤省事小程序首页“粤康码”入口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lastRenderedPageBreak/>
        <w:t xml:space="preserve">　　</w:t>
      </w: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drawing>
          <wp:inline distT="0" distB="0" distL="0" distR="0">
            <wp:extent cx="1466850" cy="3248025"/>
            <wp:effectExtent l="19050" t="0" r="0" b="0"/>
            <wp:docPr id="4" name="图片 4" descr="粤康码使用指引（第五版）2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粤康码使用指引（第五版）216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图2-3 “疫情防控服务专区”粤省事“粤康码”入口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</w:t>
      </w:r>
      <w:r w:rsidRPr="00B905DA">
        <w:rPr>
          <w:rFonts w:ascii="微软雅黑" w:eastAsia="微软雅黑" w:hAnsi="微软雅黑" w:cs="宋体" w:hint="eastAsia"/>
          <w:b/>
          <w:bCs/>
          <w:color w:val="424242"/>
          <w:kern w:val="0"/>
          <w:sz w:val="27"/>
        </w:rPr>
        <w:t>（二）登录查看粤省事“粤康码”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扫码或点击“粤康码”入口后，按以下步骤完成登录操作，登录成功后即可查看并出示“粤康码”。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1．持内地居民身份证人员登录查看“粤康码”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（1）进入选择“登录方式”，选择“人脸识别登录”或“微信支付密码登录”方式，进入下一步。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（2）若采用人脸识别登录，建议在刷脸过程中临时取下口罩，便于识别。如果微信支付密码无法通过认证，请确认是否为本人登录及绑定本人的银行卡（微信支付密码认证不会产生任何扣费行为）。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lastRenderedPageBreak/>
        <w:t xml:space="preserve">　　</w:t>
      </w: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drawing>
          <wp:inline distT="0" distB="0" distL="0" distR="0">
            <wp:extent cx="5200650" cy="7305675"/>
            <wp:effectExtent l="19050" t="0" r="0" b="0"/>
            <wp:docPr id="5" name="图片 5" descr="http://www.lianjiang.gov.cn/zjljxzfw/img/0/106/106905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lianjiang.gov.cn/zjljxzfw/img/0/106/106905/1422295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图2-4 身份证人脸识别登录步骤指引界面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lastRenderedPageBreak/>
        <w:t xml:space="preserve">　　</w:t>
      </w: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drawing>
          <wp:inline distT="0" distB="0" distL="0" distR="0">
            <wp:extent cx="4495800" cy="8124825"/>
            <wp:effectExtent l="19050" t="0" r="0" b="0"/>
            <wp:docPr id="6" name="图片 6" descr="http://www.lianjiang.gov.cn/zjljxzfw/img/0/106/106907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lianjiang.gov.cn/zjljxzfw/img/0/106/106907/142229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图2-5 身份证微信支付登录步骤指引界面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lastRenderedPageBreak/>
        <w:t xml:space="preserve">　　2．持港澳居民来往内地通行证人员查看“粤康码”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（1）进入选择“登录方式”，选择“使用人脸识别登录”方式，进入下一步。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</w:t>
      </w: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drawing>
          <wp:inline distT="0" distB="0" distL="0" distR="0">
            <wp:extent cx="4953000" cy="3971925"/>
            <wp:effectExtent l="19050" t="0" r="0" b="0"/>
            <wp:docPr id="7" name="图片 7" descr="http://www.lianjiang.gov.cn/zjljxzfw/img/0/106/106904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lianjiang.gov.cn/zjljxzfw/img/0/106/106904/1422295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图2-6 选择登录方式界面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（2）确认证件类型，选定“港澳居民来往内地通行证”，填入个人信息，点击同意用户协议，进入“网证CTID”认证个人信息后可选择“反光识别”或“读数识别”刷脸登录。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lastRenderedPageBreak/>
        <w:t xml:space="preserve">　　</w:t>
      </w: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drawing>
          <wp:inline distT="0" distB="0" distL="0" distR="0">
            <wp:extent cx="4076700" cy="6381750"/>
            <wp:effectExtent l="19050" t="0" r="0" b="0"/>
            <wp:docPr id="8" name="图片 8" descr="http://www.lianjiang.gov.cn/zjljxzfw/img/0/106/106909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lianjiang.gov.cn/zjljxzfw/img/0/106/106909/1422295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638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图2-7 刷脸登录流程界面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</w:t>
      </w:r>
      <w:r w:rsidRPr="00B905DA">
        <w:rPr>
          <w:rFonts w:ascii="微软雅黑" w:eastAsia="微软雅黑" w:hAnsi="微软雅黑" w:cs="宋体" w:hint="eastAsia"/>
          <w:b/>
          <w:bCs/>
          <w:color w:val="424242"/>
          <w:kern w:val="0"/>
          <w:sz w:val="27"/>
        </w:rPr>
        <w:t>（三）粤省事“粤康码”功能及使用说明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1．查看“粤康码”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lastRenderedPageBreak/>
        <w:drawing>
          <wp:inline distT="0" distB="0" distL="0" distR="0">
            <wp:extent cx="5429250" cy="3771900"/>
            <wp:effectExtent l="19050" t="0" r="0" b="0"/>
            <wp:docPr id="13" name="图片 13" descr="http://www.lianjiang.gov.cn/zjljxzfw/img/0/106/106914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lianjiang.gov.cn/zjljxzfw/img/0/106/106914/1422295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图2-8 粤省事“粤康码”界面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目前“粤康码”有红码、黄码、绿码三种标识：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红码：确诊病例和无症状感染者、疑似病例、密切接触者和次密切接触者（密切接触者的密切接触者）、集中隔离人员、居家隔离人员、外省健康码红码人员等人群，其“粤康码”为红色，可进一步查看标识为红码的原因及解除红码的指引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黄码：入境人员（含从我省和外省入境）集中隔离或居家隔离满14天未满21天的人员、外省健康码黄码人员等人群，其“粤康码”为黄色，可进一步查看标识为黄码的原因及解除黄码的指引。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绿码：非防疫重点人群。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2．老年人、未成年人等使用“粤康码”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“粤康码”提供管理家庭成员、代为出示粤康码、保存粤康码以便打印出示等功能，方便老年人、未成年人及智能手机操作困难人员使用“粤康码”。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lastRenderedPageBreak/>
        <w:t xml:space="preserve">　</w:t>
      </w: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drawing>
          <wp:inline distT="0" distB="0" distL="0" distR="0">
            <wp:extent cx="5295900" cy="2705100"/>
            <wp:effectExtent l="19050" t="0" r="0" b="0"/>
            <wp:docPr id="14" name="图片 14" descr="http://www.lianjiang.gov.cn/zjljxzfw/img/0/106/106910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lianjiang.gov.cn/zjljxzfw/img/0/106/106910/1422295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图2-9 同行人代家庭成员出示粤康码界面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</w:t>
      </w: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drawing>
          <wp:inline distT="0" distB="0" distL="0" distR="0">
            <wp:extent cx="4410075" cy="4819650"/>
            <wp:effectExtent l="19050" t="0" r="9525" b="0"/>
            <wp:docPr id="9" name="图片 9" descr="http://www.lianjiang.gov.cn/zjljxzfw/img/0/106/106913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lianjiang.gov.cn/zjljxzfw/img/0/106/106913/1422295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481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adjustRightInd w:val="0"/>
        <w:snapToGrid w:val="0"/>
        <w:spacing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图2-10 粤康码家庭成员管理界面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lastRenderedPageBreak/>
        <w:drawing>
          <wp:inline distT="0" distB="0" distL="0" distR="0">
            <wp:extent cx="5143500" cy="3562350"/>
            <wp:effectExtent l="19050" t="0" r="0" b="0"/>
            <wp:docPr id="10" name="图片 10" descr="http://www.lianjiang.gov.cn/zjljxzfw/img/0/106/106912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lianjiang.gov.cn/zjljxzfw/img/0/106/106912/1422295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图2-11离线保存粤康码界面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使用步骤如下。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1）代家庭成员生成粤康码。已登录粤省事“粤康码”的监护人通过粤康码“添加家庭成员”功能，为同行老年人、未成年人等输入成员身份，以及姓名、证件类型、证件号码，经身份认证（刷脸实人认证或证件一致性认证）通过后生成其“粤康码”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（2）同行人代为出示粤康码。如需代为出示“粤康码”，请点击监护人姓名右侧三角形下拉箭头，切换至对应人员姓名。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3）离线保存粤康码。点击“保存到相册”或“预览图片（长按图片发送到微信）”，将家庭成员“粤康码”保存至手机相册（离线保存的粤康码为黑色），后续可打印在纸张上（下称实体粤康码）以便于老年人、未成年人等不便使用智能手机的人员出行时随身携带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（4）使用实体粤康码扫码通行。在需扫码通行的公共场所，场所检测员扫描老年人、未成年人等人员出示的“实体粤康码”并录入体温测量结果，也可以点击“查看健康信息”进一步了解用户的健康信息情况。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3．查看本人健康信息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lastRenderedPageBreak/>
        <w:t xml:space="preserve">　　点击“我的粤康码信息”，可查看本人核酸检测、血清特异性IgG抗体检测记录、持有健康证明情况、健康申报记录、亮码记录、新冠疫苗接种记录、入境情况记录、解除医学观察电子告知书、体温检测记录、豁免人员核酸检测结果证明、入粤登记历史记录等健康信息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核酸检测记录查询：在“我的粤康码信息—核酸检测记录—查看更多”即可查看本人核酸检测记录。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入境情况记录：在“我的粤康码信息—入境情况记录”即可展现用户入境情况记录，包括入境国家、证件号码、入境日期、入境口岸和交通工具，方便用户在线查询和出示检查。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4．行程卡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点击粤康码下方“行程卡”，填写手机号以及验证码等信息，即可获得“通信大数据行程卡”，可查看用户于前14天内到达或途经的城市。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5．健康申报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点击粤康码“健康申报”页面即可进入自主申报页面，目前支持企业单位员工健康申报、组织机构成员健康申报、学生/教职工个人健康申报/个人自查申报功能，健康申报数据可在“我的粤康码信息”内“健康申报记录”查看。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drawing>
          <wp:inline distT="0" distB="0" distL="0" distR="0">
            <wp:extent cx="5429250" cy="2790825"/>
            <wp:effectExtent l="19050" t="0" r="0" b="0"/>
            <wp:docPr id="11" name="图片 11" descr="http://www.lianjiang.gov.cn/zjljxzfw/img/0/106/106916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lianjiang.gov.cn/zjljxzfw/img/0/106/106916/1422295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图2-12 健康申报界面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6．通关凭证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lastRenderedPageBreak/>
        <w:t xml:space="preserve">　　需经粤澳口岸出入境的人员，应提前通过“粤康码”的“粤港澳通关”功能，根据出入境方向选择“广东→澳门”或“澳门→广东”，按提示申报健康情况、核对个人信息后，获取粤康码通关凭证，凭粤康码通关凭证通关。　　</w:t>
      </w: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drawing>
          <wp:inline distT="0" distB="0" distL="0" distR="0">
            <wp:extent cx="5638800" cy="4200525"/>
            <wp:effectExtent l="19050" t="0" r="0" b="0"/>
            <wp:docPr id="12" name="图片 12" descr="http://www.lianjiang.gov.cn/zjljxzfw/img/0/106/106915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lianjiang.gov.cn/zjljxzfw/img/0/106/106915/1422295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图2-13 粤康码通关凭证（粤澳通关）</w:t>
      </w:r>
    </w:p>
    <w:p w:rsidR="001C4597" w:rsidRPr="00B905DA" w:rsidRDefault="001C4597" w:rsidP="001C4597">
      <w:pPr>
        <w:widowControl/>
        <w:shd w:val="clear" w:color="auto" w:fill="FFFFFF"/>
        <w:wordWrap w:val="0"/>
        <w:adjustRightInd w:val="0"/>
        <w:snapToGrid w:val="0"/>
        <w:spacing w:line="360" w:lineRule="atLeast"/>
        <w:jc w:val="left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符合“回港易”计划的香港居民应在抵达指定口岸前，应提前通过“粤康码”的“粤港澳通关”功能，选择“广东→香港”，按提示完成健康申报后，获取粤康码通关凭证，选择“入香港健康申报表”，转码生成香港健康申报表绿码通关。</w:t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center"/>
        <w:rPr>
          <w:rFonts w:ascii="微软雅黑" w:eastAsia="微软雅黑" w:hAnsi="微软雅黑" w:cs="宋体"/>
          <w:color w:val="424242"/>
          <w:kern w:val="0"/>
          <w:sz w:val="27"/>
          <w:szCs w:val="27"/>
        </w:rPr>
      </w:pPr>
      <w:r>
        <w:rPr>
          <w:rFonts w:ascii="微软雅黑" w:eastAsia="微软雅黑" w:hAnsi="微软雅黑" w:cs="宋体"/>
          <w:noProof/>
          <w:color w:val="424242"/>
          <w:kern w:val="0"/>
          <w:sz w:val="27"/>
          <w:szCs w:val="27"/>
        </w:rPr>
        <w:lastRenderedPageBreak/>
        <w:drawing>
          <wp:inline distT="0" distB="0" distL="0" distR="0">
            <wp:extent cx="5400675" cy="7181850"/>
            <wp:effectExtent l="19050" t="0" r="9525" b="0"/>
            <wp:docPr id="1" name="图片 1" descr="http://www.lianjiang.gov.cn/zjljxzfw/img/0/106/106917/1422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ianjiang.gov.cn/zjljxzfw/img/0/106/106917/1422295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718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597" w:rsidRPr="00B905DA" w:rsidRDefault="001C4597" w:rsidP="001C4597">
      <w:pPr>
        <w:widowControl/>
        <w:shd w:val="clear" w:color="auto" w:fill="FFFFFF"/>
        <w:wordWrap w:val="0"/>
        <w:spacing w:after="150" w:line="360" w:lineRule="atLeast"/>
        <w:jc w:val="left"/>
        <w:rPr>
          <w:rFonts w:ascii="仿宋_GB2312" w:eastAsia="仿宋_GB2312" w:hAnsi="华文仿宋"/>
          <w:sz w:val="32"/>
          <w:szCs w:val="32"/>
        </w:rPr>
      </w:pPr>
      <w:r w:rsidRPr="00B905DA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图2-14 粤康码通关凭证（回港易计划）</w:t>
      </w:r>
    </w:p>
    <w:p w:rsidR="001C4597" w:rsidRDefault="001C4597">
      <w:pPr>
        <w:widowControl/>
        <w:jc w:val="left"/>
        <w:rPr>
          <w:rFonts w:ascii="仿宋_GB2312" w:eastAsia="仿宋_GB2312" w:hAnsi="仿宋"/>
          <w:sz w:val="32"/>
          <w:szCs w:val="32"/>
        </w:rPr>
      </w:pPr>
    </w:p>
    <w:sectPr w:rsidR="001C4597" w:rsidSect="00EA55D6">
      <w:footerReference w:type="even" r:id="rId21"/>
      <w:footerReference w:type="default" r:id="rId22"/>
      <w:pgSz w:w="11906" w:h="16838" w:code="9"/>
      <w:pgMar w:top="1588" w:right="1588" w:bottom="1588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37B9" w:rsidRDefault="00EE37B9" w:rsidP="00EA55D6">
      <w:r>
        <w:separator/>
      </w:r>
    </w:p>
  </w:endnote>
  <w:endnote w:type="continuationSeparator" w:id="1">
    <w:p w:rsidR="00EE37B9" w:rsidRDefault="00EE37B9" w:rsidP="00EA55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4275" w:rsidRDefault="00271920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98427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84275" w:rsidRDefault="00984275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4275" w:rsidRDefault="00271920">
    <w:pPr>
      <w:pStyle w:val="a6"/>
      <w:jc w:val="center"/>
    </w:pPr>
    <w:r w:rsidRPr="00271920">
      <w:fldChar w:fldCharType="begin"/>
    </w:r>
    <w:r w:rsidR="00984275">
      <w:instrText xml:space="preserve"> PAGE   \* MERGEFORMAT </w:instrText>
    </w:r>
    <w:r w:rsidRPr="00271920">
      <w:fldChar w:fldCharType="separate"/>
    </w:r>
    <w:r w:rsidR="003D3793" w:rsidRPr="003D3793">
      <w:rPr>
        <w:noProof/>
        <w:lang w:val="zh-CN"/>
      </w:rPr>
      <w:t>12</w:t>
    </w:r>
    <w:r>
      <w:rPr>
        <w:noProof/>
        <w:lang w:val="zh-CN"/>
      </w:rPr>
      <w:fldChar w:fldCharType="end"/>
    </w:r>
  </w:p>
  <w:p w:rsidR="00984275" w:rsidRDefault="0098427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37B9" w:rsidRDefault="00EE37B9" w:rsidP="00EA55D6">
      <w:r>
        <w:separator/>
      </w:r>
    </w:p>
  </w:footnote>
  <w:footnote w:type="continuationSeparator" w:id="1">
    <w:p w:rsidR="00EE37B9" w:rsidRDefault="00EE37B9" w:rsidP="00EA55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C55E411C"/>
    <w:lvl w:ilvl="0" w:tplc="A4223EAC">
      <w:start w:val="1"/>
      <w:numFmt w:val="decimal"/>
      <w:lvlText w:val="%1、"/>
      <w:lvlJc w:val="left"/>
      <w:pPr>
        <w:tabs>
          <w:tab w:val="left" w:pos="270"/>
        </w:tabs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750"/>
        </w:tabs>
        <w:ind w:left="7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170"/>
        </w:tabs>
        <w:ind w:left="11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590"/>
        </w:tabs>
        <w:ind w:left="15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010"/>
        </w:tabs>
        <w:ind w:left="20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430"/>
        </w:tabs>
        <w:ind w:left="24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2850"/>
        </w:tabs>
        <w:ind w:left="28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270"/>
        </w:tabs>
        <w:ind w:left="32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3690"/>
        </w:tabs>
        <w:ind w:left="3690" w:hanging="420"/>
      </w:pPr>
    </w:lvl>
  </w:abstractNum>
  <w:abstractNum w:abstractNumId="1">
    <w:nsid w:val="073C3B71"/>
    <w:multiLevelType w:val="hybridMultilevel"/>
    <w:tmpl w:val="2B7EF0AC"/>
    <w:lvl w:ilvl="0" w:tplc="6D42F22C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55D6"/>
    <w:rsid w:val="00001F59"/>
    <w:rsid w:val="00004684"/>
    <w:rsid w:val="00013ACF"/>
    <w:rsid w:val="00025E88"/>
    <w:rsid w:val="00064A37"/>
    <w:rsid w:val="00071DD5"/>
    <w:rsid w:val="000772BA"/>
    <w:rsid w:val="00091228"/>
    <w:rsid w:val="00095C84"/>
    <w:rsid w:val="000E56A7"/>
    <w:rsid w:val="000F1574"/>
    <w:rsid w:val="00102FB5"/>
    <w:rsid w:val="00124BBF"/>
    <w:rsid w:val="00127039"/>
    <w:rsid w:val="00131C3A"/>
    <w:rsid w:val="00142D95"/>
    <w:rsid w:val="001433FA"/>
    <w:rsid w:val="00143C48"/>
    <w:rsid w:val="00174DB9"/>
    <w:rsid w:val="0017574D"/>
    <w:rsid w:val="001A2E47"/>
    <w:rsid w:val="001B19AB"/>
    <w:rsid w:val="001B652D"/>
    <w:rsid w:val="001C1DC9"/>
    <w:rsid w:val="001C4597"/>
    <w:rsid w:val="002155BE"/>
    <w:rsid w:val="002169F1"/>
    <w:rsid w:val="002342A9"/>
    <w:rsid w:val="002376A6"/>
    <w:rsid w:val="0026244A"/>
    <w:rsid w:val="002632BD"/>
    <w:rsid w:val="00265F2E"/>
    <w:rsid w:val="00271920"/>
    <w:rsid w:val="00285140"/>
    <w:rsid w:val="002A6165"/>
    <w:rsid w:val="002C44D8"/>
    <w:rsid w:val="00303312"/>
    <w:rsid w:val="0031559D"/>
    <w:rsid w:val="0032447B"/>
    <w:rsid w:val="00347D91"/>
    <w:rsid w:val="00350071"/>
    <w:rsid w:val="00364173"/>
    <w:rsid w:val="003A6641"/>
    <w:rsid w:val="003A6839"/>
    <w:rsid w:val="003D3793"/>
    <w:rsid w:val="003D64B8"/>
    <w:rsid w:val="003D6803"/>
    <w:rsid w:val="003E006F"/>
    <w:rsid w:val="004047D0"/>
    <w:rsid w:val="00426D77"/>
    <w:rsid w:val="00444869"/>
    <w:rsid w:val="00454123"/>
    <w:rsid w:val="004579C4"/>
    <w:rsid w:val="004662F1"/>
    <w:rsid w:val="00482705"/>
    <w:rsid w:val="004931AC"/>
    <w:rsid w:val="004B0DC4"/>
    <w:rsid w:val="004B3988"/>
    <w:rsid w:val="004C09BB"/>
    <w:rsid w:val="004C0DF2"/>
    <w:rsid w:val="004D0B59"/>
    <w:rsid w:val="004D11D2"/>
    <w:rsid w:val="004D79C1"/>
    <w:rsid w:val="0050226D"/>
    <w:rsid w:val="00505210"/>
    <w:rsid w:val="00530D53"/>
    <w:rsid w:val="00536390"/>
    <w:rsid w:val="00545837"/>
    <w:rsid w:val="005540E5"/>
    <w:rsid w:val="00563A6C"/>
    <w:rsid w:val="00565FE6"/>
    <w:rsid w:val="00584150"/>
    <w:rsid w:val="005B36F0"/>
    <w:rsid w:val="005C08FF"/>
    <w:rsid w:val="005F0090"/>
    <w:rsid w:val="00615249"/>
    <w:rsid w:val="00621CB0"/>
    <w:rsid w:val="0062356D"/>
    <w:rsid w:val="006733C3"/>
    <w:rsid w:val="006761EE"/>
    <w:rsid w:val="00682845"/>
    <w:rsid w:val="006B1FC6"/>
    <w:rsid w:val="006B708A"/>
    <w:rsid w:val="006C6810"/>
    <w:rsid w:val="006D2B29"/>
    <w:rsid w:val="007060EC"/>
    <w:rsid w:val="00726A67"/>
    <w:rsid w:val="00747949"/>
    <w:rsid w:val="007A3F33"/>
    <w:rsid w:val="007B635D"/>
    <w:rsid w:val="007C5FC1"/>
    <w:rsid w:val="007E6E2F"/>
    <w:rsid w:val="007F4E3F"/>
    <w:rsid w:val="0081716B"/>
    <w:rsid w:val="0082427A"/>
    <w:rsid w:val="0085526A"/>
    <w:rsid w:val="008566C9"/>
    <w:rsid w:val="00870CD8"/>
    <w:rsid w:val="00877827"/>
    <w:rsid w:val="008911AE"/>
    <w:rsid w:val="008E5D9D"/>
    <w:rsid w:val="008F1318"/>
    <w:rsid w:val="00904FD3"/>
    <w:rsid w:val="0094382A"/>
    <w:rsid w:val="00955391"/>
    <w:rsid w:val="00956829"/>
    <w:rsid w:val="00976CCE"/>
    <w:rsid w:val="00984275"/>
    <w:rsid w:val="00996791"/>
    <w:rsid w:val="009A31C7"/>
    <w:rsid w:val="009A3DD0"/>
    <w:rsid w:val="009B2DF0"/>
    <w:rsid w:val="00A122F9"/>
    <w:rsid w:val="00A13F7D"/>
    <w:rsid w:val="00A23D4B"/>
    <w:rsid w:val="00A43A95"/>
    <w:rsid w:val="00A464AD"/>
    <w:rsid w:val="00A470DC"/>
    <w:rsid w:val="00A50188"/>
    <w:rsid w:val="00A73E58"/>
    <w:rsid w:val="00AA131F"/>
    <w:rsid w:val="00AA137F"/>
    <w:rsid w:val="00AC051A"/>
    <w:rsid w:val="00AD3E4B"/>
    <w:rsid w:val="00AD7715"/>
    <w:rsid w:val="00AE3405"/>
    <w:rsid w:val="00AF0F02"/>
    <w:rsid w:val="00B17D5F"/>
    <w:rsid w:val="00B419E3"/>
    <w:rsid w:val="00B6766D"/>
    <w:rsid w:val="00B7019C"/>
    <w:rsid w:val="00B73D22"/>
    <w:rsid w:val="00B872C9"/>
    <w:rsid w:val="00BA5C88"/>
    <w:rsid w:val="00C4533E"/>
    <w:rsid w:val="00C563CF"/>
    <w:rsid w:val="00C80815"/>
    <w:rsid w:val="00C86854"/>
    <w:rsid w:val="00C91AD0"/>
    <w:rsid w:val="00C947EC"/>
    <w:rsid w:val="00C96142"/>
    <w:rsid w:val="00C97BD5"/>
    <w:rsid w:val="00CB5EF9"/>
    <w:rsid w:val="00CB6363"/>
    <w:rsid w:val="00CC0CD5"/>
    <w:rsid w:val="00CC36A3"/>
    <w:rsid w:val="00CD16CA"/>
    <w:rsid w:val="00CD61C1"/>
    <w:rsid w:val="00CE2FC8"/>
    <w:rsid w:val="00CE3761"/>
    <w:rsid w:val="00D21B08"/>
    <w:rsid w:val="00D300CC"/>
    <w:rsid w:val="00D32293"/>
    <w:rsid w:val="00D35057"/>
    <w:rsid w:val="00D7286E"/>
    <w:rsid w:val="00D91BB6"/>
    <w:rsid w:val="00D94B0E"/>
    <w:rsid w:val="00DA5A89"/>
    <w:rsid w:val="00DA5BE6"/>
    <w:rsid w:val="00DD7016"/>
    <w:rsid w:val="00E021DE"/>
    <w:rsid w:val="00E17174"/>
    <w:rsid w:val="00E61B68"/>
    <w:rsid w:val="00E72065"/>
    <w:rsid w:val="00E72A9A"/>
    <w:rsid w:val="00E84030"/>
    <w:rsid w:val="00E94E17"/>
    <w:rsid w:val="00EA3E9E"/>
    <w:rsid w:val="00EA55D6"/>
    <w:rsid w:val="00EA5854"/>
    <w:rsid w:val="00EA7571"/>
    <w:rsid w:val="00EE37B9"/>
    <w:rsid w:val="00EE3CDD"/>
    <w:rsid w:val="00F204C5"/>
    <w:rsid w:val="00F62BD7"/>
    <w:rsid w:val="00F744CD"/>
    <w:rsid w:val="00F94110"/>
    <w:rsid w:val="00FA2E5F"/>
    <w:rsid w:val="00FB4682"/>
    <w:rsid w:val="00FE5C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5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A55D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rsid w:val="00EA55D6"/>
    <w:pPr>
      <w:ind w:leftChars="2500" w:left="100"/>
    </w:pPr>
  </w:style>
  <w:style w:type="paragraph" w:styleId="a5">
    <w:name w:val="Balloon Text"/>
    <w:basedOn w:val="a"/>
    <w:rsid w:val="00EA55D6"/>
    <w:rPr>
      <w:sz w:val="18"/>
      <w:szCs w:val="18"/>
    </w:rPr>
  </w:style>
  <w:style w:type="paragraph" w:styleId="a6">
    <w:name w:val="footer"/>
    <w:basedOn w:val="a"/>
    <w:link w:val="Char"/>
    <w:uiPriority w:val="99"/>
    <w:rsid w:val="00EA5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EA55D6"/>
  </w:style>
  <w:style w:type="paragraph" w:styleId="a8">
    <w:name w:val="header"/>
    <w:basedOn w:val="a"/>
    <w:rsid w:val="00EA5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rsid w:val="00EA55D6"/>
    <w:pPr>
      <w:ind w:firstLineChars="200" w:firstLine="420"/>
    </w:pPr>
  </w:style>
  <w:style w:type="paragraph" w:styleId="aa">
    <w:name w:val="Normal (Web)"/>
    <w:basedOn w:val="a"/>
    <w:uiPriority w:val="99"/>
    <w:rsid w:val="00EA55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页脚 Char"/>
    <w:basedOn w:val="a0"/>
    <w:link w:val="a6"/>
    <w:uiPriority w:val="99"/>
    <w:rsid w:val="00EA55D6"/>
    <w:rPr>
      <w:kern w:val="2"/>
      <w:sz w:val="18"/>
      <w:szCs w:val="18"/>
    </w:rPr>
  </w:style>
  <w:style w:type="character" w:styleId="ab">
    <w:name w:val="Hyperlink"/>
    <w:basedOn w:val="a0"/>
    <w:uiPriority w:val="99"/>
    <w:rsid w:val="00EA55D6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B872C9"/>
    <w:rPr>
      <w:color w:val="800080" w:themeColor="followedHyperlink"/>
      <w:u w:val="single"/>
    </w:rPr>
  </w:style>
  <w:style w:type="character" w:styleId="ad">
    <w:name w:val="Strong"/>
    <w:basedOn w:val="a0"/>
    <w:uiPriority w:val="22"/>
    <w:qFormat/>
    <w:rsid w:val="004047D0"/>
    <w:rPr>
      <w:b/>
      <w:bCs/>
    </w:rPr>
  </w:style>
  <w:style w:type="paragraph" w:styleId="ae">
    <w:name w:val="Body Text"/>
    <w:basedOn w:val="a"/>
    <w:next w:val="af"/>
    <w:link w:val="Char0"/>
    <w:qFormat/>
    <w:rsid w:val="004D79C1"/>
    <w:pPr>
      <w:spacing w:line="400" w:lineRule="exact"/>
    </w:pPr>
    <w:rPr>
      <w:rFonts w:ascii="仿宋_GB2312" w:eastAsia="仿宋_GB2312" w:hAnsi="Calibri" w:cs="黑体"/>
      <w:sz w:val="24"/>
      <w:szCs w:val="20"/>
    </w:rPr>
  </w:style>
  <w:style w:type="character" w:customStyle="1" w:styleId="Char0">
    <w:name w:val="正文文本 Char"/>
    <w:basedOn w:val="a0"/>
    <w:link w:val="ae"/>
    <w:rsid w:val="004D79C1"/>
    <w:rPr>
      <w:rFonts w:ascii="仿宋_GB2312" w:eastAsia="仿宋_GB2312" w:hAnsi="Calibri" w:cs="黑体"/>
      <w:kern w:val="2"/>
      <w:sz w:val="24"/>
    </w:rPr>
  </w:style>
  <w:style w:type="paragraph" w:customStyle="1" w:styleId="Style3">
    <w:name w:val="_Style 3"/>
    <w:basedOn w:val="a"/>
    <w:next w:val="3"/>
    <w:qFormat/>
    <w:rsid w:val="004D79C1"/>
    <w:rPr>
      <w:rFonts w:ascii="Calibri" w:hAnsi="Calibri" w:cs="黑体"/>
      <w:szCs w:val="22"/>
    </w:rPr>
  </w:style>
  <w:style w:type="paragraph" w:styleId="af">
    <w:name w:val="Title"/>
    <w:basedOn w:val="a"/>
    <w:next w:val="a"/>
    <w:link w:val="Char1"/>
    <w:uiPriority w:val="10"/>
    <w:qFormat/>
    <w:rsid w:val="004D79C1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f"/>
    <w:uiPriority w:val="10"/>
    <w:rsid w:val="004D79C1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3">
    <w:name w:val="Body Text Indent 3"/>
    <w:basedOn w:val="a"/>
    <w:link w:val="3Char"/>
    <w:uiPriority w:val="99"/>
    <w:semiHidden/>
    <w:unhideWhenUsed/>
    <w:rsid w:val="004D79C1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semiHidden/>
    <w:rsid w:val="004D79C1"/>
    <w:rPr>
      <w:kern w:val="2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332</Words>
  <Characters>1894</Characters>
  <Application>Microsoft Office Word</Application>
  <DocSecurity>0</DocSecurity>
  <Lines>15</Lines>
  <Paragraphs>4</Paragraphs>
  <ScaleCrop>false</ScaleCrop>
  <Company>jyjrsg</Company>
  <LinksUpToDate>false</LinksUpToDate>
  <CharactersWithSpaces>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连平县2011年公开招聘中小学教师工作方案</dc:title>
  <dc:creator>Anonymous</dc:creator>
  <cp:lastModifiedBy>gyb1</cp:lastModifiedBy>
  <cp:revision>2</cp:revision>
  <cp:lastPrinted>2021-09-23T08:14:00Z</cp:lastPrinted>
  <dcterms:created xsi:type="dcterms:W3CDTF">2021-10-25T01:22:00Z</dcterms:created>
  <dcterms:modified xsi:type="dcterms:W3CDTF">2021-10-25T01:22:00Z</dcterms:modified>
</cp:coreProperties>
</file>