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</w:p>
    <w:bookmarkEnd w:id="0"/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二、本人已知晓此次教师资格认定事项的申报条件和标准（详见教师资格认定公告），并承诺已经到南宁市教师资格认定指定体检医院体检并合格。本人同意南宁市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（一）未达到法定要求的身体条件不从事教育教学活动，并在三个工作日内主动向南宁市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（三）因撤销行为造成本人或其他相对人利益损失的，由本人承担所有责任。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5253DD9"/>
    <w:rsid w:val="3B9E5CA7"/>
    <w:rsid w:val="3EC70B00"/>
    <w:rsid w:val="45CA0541"/>
    <w:rsid w:val="4DA13522"/>
    <w:rsid w:val="4DF7272F"/>
    <w:rsid w:val="506D465B"/>
    <w:rsid w:val="50D90B2C"/>
    <w:rsid w:val="514F0A37"/>
    <w:rsid w:val="55CC41AA"/>
    <w:rsid w:val="66CD36B2"/>
    <w:rsid w:val="6C890A4B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6</TotalTime>
  <ScaleCrop>false</ScaleCrop>
  <LinksUpToDate>false</LinksUpToDate>
  <CharactersWithSpaces>666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-anfei</cp:lastModifiedBy>
  <cp:lastPrinted>2020-03-27T01:37:00Z</cp:lastPrinted>
  <dcterms:modified xsi:type="dcterms:W3CDTF">2021-10-21T01:44:22Z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B246D9A8739B4FCC86616BBDC799562E</vt:lpwstr>
  </property>
</Properties>
</file>