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eastAsia="方正小标宋简体"/>
          <w:sz w:val="36"/>
          <w:szCs w:val="36"/>
        </w:rPr>
      </w:pPr>
    </w:p>
    <w:p>
      <w:pPr>
        <w:jc w:val="center"/>
        <w:rPr>
          <w:rFonts w:ascii="方正小标宋简体" w:eastAsia="方正小标宋简体"/>
          <w:sz w:val="36"/>
          <w:szCs w:val="36"/>
        </w:rPr>
      </w:pPr>
      <w:r>
        <w:rPr>
          <w:rFonts w:hint="eastAsia" w:ascii="方正小标宋简体" w:eastAsia="方正小标宋简体"/>
          <w:sz w:val="36"/>
          <w:szCs w:val="36"/>
        </w:rPr>
        <w:t>江山市赴杭州师范大学提前招聘2</w:t>
      </w:r>
      <w:r>
        <w:rPr>
          <w:rFonts w:ascii="方正小标宋简体" w:eastAsia="方正小标宋简体"/>
          <w:sz w:val="36"/>
          <w:szCs w:val="36"/>
        </w:rPr>
        <w:t>022</w:t>
      </w:r>
      <w:r>
        <w:rPr>
          <w:rFonts w:hint="eastAsia" w:ascii="方正小标宋简体" w:eastAsia="方正小标宋简体"/>
          <w:sz w:val="36"/>
          <w:szCs w:val="36"/>
        </w:rPr>
        <w:t>年新教师公告</w:t>
      </w:r>
    </w:p>
    <w:p>
      <w:pPr>
        <w:jc w:val="left"/>
        <w:rPr>
          <w:rFonts w:ascii="仿宋_GB2312" w:eastAsia="仿宋_GB2312"/>
          <w:sz w:val="32"/>
          <w:szCs w:val="32"/>
        </w:rPr>
      </w:pPr>
    </w:p>
    <w:p>
      <w:pPr>
        <w:ind w:firstLine="640" w:firstLineChars="200"/>
        <w:rPr>
          <w:rFonts w:ascii="仿宋_GB2312" w:eastAsia="仿宋_GB2312"/>
          <w:sz w:val="32"/>
          <w:szCs w:val="32"/>
        </w:rPr>
      </w:pPr>
      <w:r>
        <w:rPr>
          <w:rFonts w:hint="eastAsia" w:ascii="仿宋_GB2312" w:eastAsia="仿宋_GB2312"/>
          <w:sz w:val="32"/>
          <w:szCs w:val="32"/>
        </w:rPr>
        <w:t>为加强教师队伍建设，改善师资队伍结构，根据江山市教育事业发展的需要，决定赴杭州师范大学提前招聘部分2</w:t>
      </w:r>
      <w:r>
        <w:rPr>
          <w:rFonts w:ascii="仿宋_GB2312" w:eastAsia="仿宋_GB2312"/>
          <w:sz w:val="32"/>
          <w:szCs w:val="32"/>
        </w:rPr>
        <w:t>022</w:t>
      </w:r>
      <w:r>
        <w:rPr>
          <w:rFonts w:hint="eastAsia" w:ascii="仿宋_GB2312" w:eastAsia="仿宋_GB2312"/>
          <w:sz w:val="32"/>
          <w:szCs w:val="32"/>
        </w:rPr>
        <w:t>年新教师</w:t>
      </w:r>
      <w:r>
        <w:rPr>
          <w:rFonts w:ascii="仿宋_GB2312" w:eastAsia="仿宋_GB2312"/>
          <w:sz w:val="32"/>
          <w:szCs w:val="32"/>
        </w:rPr>
        <w:t>。</w:t>
      </w:r>
      <w:r>
        <w:rPr>
          <w:rFonts w:hint="eastAsia" w:ascii="仿宋_GB2312" w:eastAsia="仿宋_GB2312"/>
          <w:sz w:val="32"/>
          <w:szCs w:val="32"/>
        </w:rPr>
        <w:t>现将招聘事项公告如下</w:t>
      </w:r>
      <w:r>
        <w:rPr>
          <w:rFonts w:ascii="仿宋_GB2312" w:eastAsia="仿宋_GB2312"/>
          <w:sz w:val="32"/>
          <w:szCs w:val="32"/>
        </w:rPr>
        <w:t>：</w:t>
      </w:r>
    </w:p>
    <w:p>
      <w:pPr>
        <w:ind w:firstLine="640" w:firstLineChars="200"/>
        <w:rPr>
          <w:rFonts w:ascii="黑体" w:hAnsi="黑体" w:eastAsia="黑体"/>
          <w:sz w:val="32"/>
          <w:szCs w:val="32"/>
        </w:rPr>
      </w:pPr>
      <w:r>
        <w:rPr>
          <w:rFonts w:hint="eastAsia" w:ascii="黑体" w:hAnsi="黑体" w:eastAsia="黑体"/>
          <w:sz w:val="32"/>
          <w:szCs w:val="32"/>
        </w:rPr>
        <w:t>一、招聘计划</w:t>
      </w:r>
    </w:p>
    <w:tbl>
      <w:tblPr>
        <w:tblStyle w:val="9"/>
        <w:tblW w:w="86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2472"/>
        <w:gridCol w:w="1659"/>
        <w:gridCol w:w="1539"/>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vAlign w:val="center"/>
          </w:tcPr>
          <w:p>
            <w:pPr>
              <w:jc w:val="center"/>
              <w:rPr>
                <w:rFonts w:ascii="宋体" w:hAnsi="宋体" w:eastAsia="宋体"/>
                <w:sz w:val="24"/>
                <w:szCs w:val="24"/>
              </w:rPr>
            </w:pPr>
            <w:r>
              <w:rPr>
                <w:rFonts w:hint="eastAsia" w:ascii="宋体" w:hAnsi="宋体" w:eastAsia="宋体"/>
                <w:sz w:val="24"/>
                <w:szCs w:val="24"/>
              </w:rPr>
              <w:t>序号</w:t>
            </w:r>
          </w:p>
        </w:tc>
        <w:tc>
          <w:tcPr>
            <w:tcW w:w="2472" w:type="dxa"/>
            <w:vAlign w:val="center"/>
          </w:tcPr>
          <w:p>
            <w:pPr>
              <w:jc w:val="center"/>
              <w:rPr>
                <w:rFonts w:ascii="宋体" w:hAnsi="宋体" w:eastAsia="宋体"/>
                <w:sz w:val="24"/>
                <w:szCs w:val="24"/>
              </w:rPr>
            </w:pPr>
            <w:r>
              <w:rPr>
                <w:rFonts w:hint="eastAsia" w:ascii="宋体" w:hAnsi="宋体" w:eastAsia="宋体"/>
                <w:sz w:val="24"/>
                <w:szCs w:val="24"/>
              </w:rPr>
              <w:t>招聘学段（学校）</w:t>
            </w:r>
          </w:p>
        </w:tc>
        <w:tc>
          <w:tcPr>
            <w:tcW w:w="1659" w:type="dxa"/>
            <w:vAlign w:val="center"/>
          </w:tcPr>
          <w:p>
            <w:pPr>
              <w:jc w:val="center"/>
              <w:rPr>
                <w:rFonts w:ascii="宋体" w:hAnsi="宋体" w:eastAsia="宋体"/>
                <w:sz w:val="24"/>
                <w:szCs w:val="24"/>
              </w:rPr>
            </w:pPr>
            <w:r>
              <w:rPr>
                <w:rFonts w:hint="eastAsia" w:ascii="宋体" w:hAnsi="宋体" w:eastAsia="宋体"/>
                <w:sz w:val="24"/>
                <w:szCs w:val="24"/>
              </w:rPr>
              <w:t>招聘学科</w:t>
            </w:r>
          </w:p>
        </w:tc>
        <w:tc>
          <w:tcPr>
            <w:tcW w:w="1539" w:type="dxa"/>
            <w:vAlign w:val="center"/>
          </w:tcPr>
          <w:p>
            <w:pPr>
              <w:jc w:val="center"/>
              <w:rPr>
                <w:rFonts w:ascii="宋体" w:hAnsi="宋体" w:eastAsia="宋体"/>
                <w:sz w:val="24"/>
                <w:szCs w:val="24"/>
              </w:rPr>
            </w:pPr>
            <w:r>
              <w:rPr>
                <w:rFonts w:hint="eastAsia" w:ascii="宋体" w:hAnsi="宋体" w:eastAsia="宋体"/>
                <w:sz w:val="24"/>
                <w:szCs w:val="24"/>
              </w:rPr>
              <w:t>招聘计划数</w:t>
            </w:r>
          </w:p>
        </w:tc>
        <w:tc>
          <w:tcPr>
            <w:tcW w:w="2126" w:type="dxa"/>
            <w:vAlign w:val="center"/>
          </w:tcPr>
          <w:p>
            <w:pPr>
              <w:jc w:val="center"/>
              <w:rPr>
                <w:rFonts w:ascii="宋体" w:hAnsi="宋体" w:eastAsia="宋体"/>
                <w:sz w:val="24"/>
                <w:szCs w:val="24"/>
              </w:rPr>
            </w:pPr>
            <w:r>
              <w:rPr>
                <w:rFonts w:hint="eastAsia" w:ascii="宋体" w:hAnsi="宋体" w:eastAsia="宋体"/>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vAlign w:val="center"/>
          </w:tcPr>
          <w:p>
            <w:pPr>
              <w:jc w:val="center"/>
              <w:rPr>
                <w:rFonts w:hint="default" w:ascii="宋体" w:hAnsi="宋体" w:eastAsia="宋体"/>
                <w:sz w:val="24"/>
                <w:szCs w:val="24"/>
                <w:lang w:val="en-US" w:eastAsia="zh-CN"/>
              </w:rPr>
            </w:pPr>
            <w:r>
              <w:rPr>
                <w:rFonts w:hint="eastAsia" w:ascii="宋体" w:hAnsi="宋体" w:eastAsia="宋体"/>
                <w:sz w:val="24"/>
                <w:szCs w:val="24"/>
                <w:lang w:val="en-US" w:eastAsia="zh-CN"/>
              </w:rPr>
              <w:t>1</w:t>
            </w:r>
          </w:p>
        </w:tc>
        <w:tc>
          <w:tcPr>
            <w:tcW w:w="2472" w:type="dxa"/>
            <w:vMerge w:val="restart"/>
            <w:vAlign w:val="center"/>
          </w:tcPr>
          <w:p>
            <w:pPr>
              <w:jc w:val="center"/>
              <w:rPr>
                <w:rFonts w:ascii="宋体" w:hAnsi="宋体" w:eastAsia="宋体"/>
                <w:sz w:val="24"/>
                <w:szCs w:val="24"/>
              </w:rPr>
            </w:pPr>
            <w:r>
              <w:rPr>
                <w:rFonts w:hint="eastAsia" w:ascii="宋体" w:hAnsi="宋体" w:eastAsia="宋体"/>
                <w:sz w:val="24"/>
                <w:szCs w:val="24"/>
              </w:rPr>
              <w:t>滨江高中</w:t>
            </w:r>
          </w:p>
        </w:tc>
        <w:tc>
          <w:tcPr>
            <w:tcW w:w="1659" w:type="dxa"/>
            <w:vAlign w:val="center"/>
          </w:tcPr>
          <w:p>
            <w:pPr>
              <w:jc w:val="center"/>
              <w:rPr>
                <w:rFonts w:hint="eastAsia" w:ascii="宋体" w:hAnsi="宋体" w:eastAsia="宋体"/>
                <w:sz w:val="24"/>
                <w:szCs w:val="24"/>
                <w:lang w:eastAsia="zh-CN"/>
              </w:rPr>
            </w:pPr>
            <w:r>
              <w:rPr>
                <w:rFonts w:hint="eastAsia" w:ascii="宋体" w:hAnsi="宋体" w:eastAsia="宋体"/>
                <w:sz w:val="24"/>
                <w:szCs w:val="24"/>
                <w:lang w:eastAsia="zh-CN"/>
              </w:rPr>
              <w:t>数学</w:t>
            </w:r>
          </w:p>
        </w:tc>
        <w:tc>
          <w:tcPr>
            <w:tcW w:w="1539" w:type="dxa"/>
            <w:vAlign w:val="center"/>
          </w:tcPr>
          <w:p>
            <w:pPr>
              <w:jc w:val="center"/>
              <w:rPr>
                <w:rFonts w:ascii="宋体" w:hAnsi="宋体" w:eastAsia="宋体"/>
                <w:sz w:val="24"/>
                <w:szCs w:val="24"/>
              </w:rPr>
            </w:pPr>
            <w:r>
              <w:rPr>
                <w:rFonts w:hint="eastAsia" w:ascii="宋体" w:hAnsi="宋体" w:eastAsia="宋体"/>
                <w:sz w:val="24"/>
                <w:szCs w:val="24"/>
              </w:rPr>
              <w:t>1</w:t>
            </w:r>
          </w:p>
        </w:tc>
        <w:tc>
          <w:tcPr>
            <w:tcW w:w="2126" w:type="dxa"/>
            <w:vMerge w:val="restart"/>
            <w:vAlign w:val="center"/>
          </w:tcPr>
          <w:p>
            <w:pPr>
              <w:jc w:val="center"/>
              <w:rPr>
                <w:rFonts w:hint="eastAsia" w:ascii="宋体" w:hAnsi="宋体" w:eastAsia="宋体"/>
                <w:sz w:val="24"/>
                <w:szCs w:val="24"/>
                <w:lang w:eastAsia="zh-CN"/>
              </w:rPr>
            </w:pPr>
            <w:r>
              <w:rPr>
                <w:rFonts w:hint="eastAsia" w:ascii="宋体" w:hAnsi="宋体" w:eastAsia="宋体"/>
                <w:sz w:val="24"/>
                <w:szCs w:val="24"/>
                <w:lang w:eastAsia="zh-CN"/>
              </w:rPr>
              <w:t>须笔试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vAlign w:val="center"/>
          </w:tcPr>
          <w:p>
            <w:pPr>
              <w:jc w:val="center"/>
              <w:rPr>
                <w:rFonts w:hint="default" w:ascii="宋体" w:hAnsi="宋体" w:eastAsia="宋体"/>
                <w:sz w:val="24"/>
                <w:szCs w:val="24"/>
                <w:lang w:val="en-US" w:eastAsia="zh-CN"/>
              </w:rPr>
            </w:pPr>
            <w:r>
              <w:rPr>
                <w:rFonts w:hint="eastAsia" w:ascii="宋体" w:hAnsi="宋体" w:eastAsia="宋体"/>
                <w:sz w:val="24"/>
                <w:szCs w:val="24"/>
                <w:lang w:val="en-US" w:eastAsia="zh-CN"/>
              </w:rPr>
              <w:t>2</w:t>
            </w:r>
          </w:p>
        </w:tc>
        <w:tc>
          <w:tcPr>
            <w:tcW w:w="2472" w:type="dxa"/>
            <w:vMerge w:val="continue"/>
            <w:vAlign w:val="center"/>
          </w:tcPr>
          <w:p>
            <w:pPr>
              <w:jc w:val="center"/>
              <w:rPr>
                <w:rFonts w:ascii="宋体" w:hAnsi="宋体" w:eastAsia="宋体"/>
                <w:sz w:val="24"/>
                <w:szCs w:val="24"/>
              </w:rPr>
            </w:pPr>
          </w:p>
        </w:tc>
        <w:tc>
          <w:tcPr>
            <w:tcW w:w="1659" w:type="dxa"/>
            <w:vAlign w:val="center"/>
          </w:tcPr>
          <w:p>
            <w:pPr>
              <w:jc w:val="center"/>
              <w:rPr>
                <w:rFonts w:ascii="宋体" w:hAnsi="宋体" w:eastAsia="宋体"/>
                <w:sz w:val="24"/>
                <w:szCs w:val="24"/>
              </w:rPr>
            </w:pPr>
            <w:r>
              <w:rPr>
                <w:rFonts w:hint="eastAsia" w:ascii="宋体" w:hAnsi="宋体" w:eastAsia="宋体"/>
                <w:sz w:val="24"/>
                <w:szCs w:val="24"/>
              </w:rPr>
              <w:t>英语</w:t>
            </w:r>
          </w:p>
        </w:tc>
        <w:tc>
          <w:tcPr>
            <w:tcW w:w="1539" w:type="dxa"/>
            <w:vAlign w:val="center"/>
          </w:tcPr>
          <w:p>
            <w:pPr>
              <w:jc w:val="center"/>
              <w:rPr>
                <w:rFonts w:ascii="宋体" w:hAnsi="宋体" w:eastAsia="宋体"/>
                <w:sz w:val="24"/>
                <w:szCs w:val="24"/>
              </w:rPr>
            </w:pPr>
            <w:r>
              <w:rPr>
                <w:rFonts w:hint="eastAsia" w:ascii="宋体" w:hAnsi="宋体" w:eastAsia="宋体"/>
                <w:sz w:val="24"/>
                <w:szCs w:val="24"/>
              </w:rPr>
              <w:t>1</w:t>
            </w:r>
          </w:p>
        </w:tc>
        <w:tc>
          <w:tcPr>
            <w:tcW w:w="2126" w:type="dxa"/>
            <w:vMerge w:val="continue"/>
            <w:vAlign w:val="center"/>
          </w:tcPr>
          <w:p>
            <w:pPr>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vAlign w:val="center"/>
          </w:tcPr>
          <w:p>
            <w:pPr>
              <w:jc w:val="center"/>
              <w:rPr>
                <w:rFonts w:hint="default" w:ascii="宋体" w:hAnsi="宋体" w:eastAsia="宋体"/>
                <w:sz w:val="24"/>
                <w:szCs w:val="24"/>
                <w:lang w:val="en-US" w:eastAsia="zh-CN"/>
              </w:rPr>
            </w:pPr>
            <w:r>
              <w:rPr>
                <w:rFonts w:hint="eastAsia" w:ascii="宋体" w:hAnsi="宋体" w:eastAsia="宋体"/>
                <w:sz w:val="24"/>
                <w:szCs w:val="24"/>
                <w:lang w:val="en-US" w:eastAsia="zh-CN"/>
              </w:rPr>
              <w:t>3</w:t>
            </w:r>
          </w:p>
        </w:tc>
        <w:tc>
          <w:tcPr>
            <w:tcW w:w="2472" w:type="dxa"/>
            <w:vAlign w:val="center"/>
          </w:tcPr>
          <w:p>
            <w:pPr>
              <w:jc w:val="center"/>
              <w:rPr>
                <w:rFonts w:ascii="宋体" w:hAnsi="宋体" w:eastAsia="宋体"/>
                <w:sz w:val="24"/>
                <w:szCs w:val="24"/>
              </w:rPr>
            </w:pPr>
            <w:r>
              <w:rPr>
                <w:rFonts w:hint="eastAsia" w:ascii="宋体" w:hAnsi="宋体" w:eastAsia="宋体"/>
                <w:sz w:val="24"/>
                <w:szCs w:val="24"/>
              </w:rPr>
              <w:t>江山五中</w:t>
            </w:r>
          </w:p>
        </w:tc>
        <w:tc>
          <w:tcPr>
            <w:tcW w:w="1659" w:type="dxa"/>
            <w:vAlign w:val="center"/>
          </w:tcPr>
          <w:p>
            <w:pPr>
              <w:jc w:val="center"/>
              <w:rPr>
                <w:rFonts w:ascii="宋体" w:hAnsi="宋体" w:eastAsia="宋体"/>
                <w:sz w:val="24"/>
                <w:szCs w:val="24"/>
              </w:rPr>
            </w:pPr>
            <w:r>
              <w:rPr>
                <w:rFonts w:hint="eastAsia" w:ascii="宋体" w:hAnsi="宋体" w:eastAsia="宋体"/>
                <w:sz w:val="24"/>
                <w:szCs w:val="24"/>
              </w:rPr>
              <w:t>历史</w:t>
            </w:r>
          </w:p>
        </w:tc>
        <w:tc>
          <w:tcPr>
            <w:tcW w:w="1539" w:type="dxa"/>
            <w:vAlign w:val="center"/>
          </w:tcPr>
          <w:p>
            <w:pPr>
              <w:jc w:val="center"/>
              <w:rPr>
                <w:rFonts w:ascii="宋体" w:hAnsi="宋体" w:eastAsia="宋体"/>
                <w:sz w:val="24"/>
                <w:szCs w:val="24"/>
              </w:rPr>
            </w:pPr>
            <w:r>
              <w:rPr>
                <w:rFonts w:hint="eastAsia" w:ascii="宋体" w:hAnsi="宋体" w:eastAsia="宋体"/>
                <w:sz w:val="24"/>
                <w:szCs w:val="24"/>
              </w:rPr>
              <w:t>1</w:t>
            </w:r>
          </w:p>
        </w:tc>
        <w:tc>
          <w:tcPr>
            <w:tcW w:w="2126" w:type="dxa"/>
            <w:vAlign w:val="center"/>
          </w:tcPr>
          <w:p>
            <w:pPr>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vAlign w:val="center"/>
          </w:tcPr>
          <w:p>
            <w:pPr>
              <w:jc w:val="center"/>
              <w:rPr>
                <w:rFonts w:hint="default" w:ascii="宋体" w:hAnsi="宋体" w:eastAsia="宋体"/>
                <w:sz w:val="24"/>
                <w:szCs w:val="24"/>
                <w:lang w:val="en-US" w:eastAsia="zh-CN"/>
              </w:rPr>
            </w:pPr>
            <w:r>
              <w:rPr>
                <w:rFonts w:hint="eastAsia" w:ascii="宋体" w:hAnsi="宋体" w:eastAsia="宋体"/>
                <w:sz w:val="24"/>
                <w:szCs w:val="24"/>
                <w:lang w:val="en-US" w:eastAsia="zh-CN"/>
              </w:rPr>
              <w:t>4</w:t>
            </w:r>
          </w:p>
        </w:tc>
        <w:tc>
          <w:tcPr>
            <w:tcW w:w="2472" w:type="dxa"/>
            <w:vAlign w:val="center"/>
          </w:tcPr>
          <w:p>
            <w:pPr>
              <w:jc w:val="center"/>
              <w:rPr>
                <w:rFonts w:ascii="宋体" w:hAnsi="宋体" w:eastAsia="宋体"/>
                <w:sz w:val="24"/>
                <w:szCs w:val="24"/>
              </w:rPr>
            </w:pPr>
            <w:r>
              <w:rPr>
                <w:rFonts w:hint="eastAsia" w:ascii="宋体" w:hAnsi="宋体" w:eastAsia="宋体"/>
                <w:sz w:val="24"/>
                <w:szCs w:val="24"/>
              </w:rPr>
              <w:t>清湖高中</w:t>
            </w:r>
          </w:p>
        </w:tc>
        <w:tc>
          <w:tcPr>
            <w:tcW w:w="1659" w:type="dxa"/>
            <w:vAlign w:val="center"/>
          </w:tcPr>
          <w:p>
            <w:pPr>
              <w:jc w:val="center"/>
              <w:rPr>
                <w:rFonts w:ascii="宋体" w:hAnsi="宋体" w:eastAsia="宋体"/>
                <w:sz w:val="24"/>
                <w:szCs w:val="24"/>
              </w:rPr>
            </w:pPr>
            <w:r>
              <w:rPr>
                <w:rFonts w:hint="eastAsia" w:ascii="宋体" w:hAnsi="宋体" w:eastAsia="宋体"/>
                <w:sz w:val="24"/>
                <w:szCs w:val="24"/>
              </w:rPr>
              <w:t>日语</w:t>
            </w:r>
          </w:p>
        </w:tc>
        <w:tc>
          <w:tcPr>
            <w:tcW w:w="1539" w:type="dxa"/>
            <w:vAlign w:val="center"/>
          </w:tcPr>
          <w:p>
            <w:pPr>
              <w:jc w:val="center"/>
              <w:rPr>
                <w:rFonts w:ascii="宋体" w:hAnsi="宋体" w:eastAsia="宋体"/>
                <w:sz w:val="24"/>
                <w:szCs w:val="24"/>
              </w:rPr>
            </w:pPr>
            <w:r>
              <w:rPr>
                <w:rFonts w:hint="eastAsia" w:ascii="宋体" w:hAnsi="宋体" w:eastAsia="宋体"/>
                <w:sz w:val="24"/>
                <w:szCs w:val="24"/>
              </w:rPr>
              <w:t>1</w:t>
            </w:r>
          </w:p>
        </w:tc>
        <w:tc>
          <w:tcPr>
            <w:tcW w:w="2126" w:type="dxa"/>
            <w:vAlign w:val="center"/>
          </w:tcPr>
          <w:p>
            <w:pPr>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vAlign w:val="center"/>
          </w:tcPr>
          <w:p>
            <w:pPr>
              <w:jc w:val="center"/>
              <w:rPr>
                <w:rFonts w:hint="default" w:ascii="宋体" w:hAnsi="宋体" w:eastAsia="宋体"/>
                <w:sz w:val="24"/>
                <w:szCs w:val="24"/>
                <w:lang w:val="en-US" w:eastAsia="zh-CN"/>
              </w:rPr>
            </w:pPr>
            <w:r>
              <w:rPr>
                <w:rFonts w:hint="eastAsia" w:ascii="宋体" w:hAnsi="宋体" w:eastAsia="宋体"/>
                <w:sz w:val="24"/>
                <w:szCs w:val="24"/>
                <w:lang w:val="en-US" w:eastAsia="zh-CN"/>
              </w:rPr>
              <w:t>5</w:t>
            </w:r>
          </w:p>
        </w:tc>
        <w:tc>
          <w:tcPr>
            <w:tcW w:w="2472" w:type="dxa"/>
            <w:vMerge w:val="restart"/>
            <w:vAlign w:val="center"/>
          </w:tcPr>
          <w:p>
            <w:pPr>
              <w:jc w:val="center"/>
              <w:rPr>
                <w:rFonts w:ascii="宋体" w:hAnsi="宋体" w:eastAsia="宋体"/>
                <w:sz w:val="24"/>
                <w:szCs w:val="24"/>
              </w:rPr>
            </w:pPr>
            <w:r>
              <w:rPr>
                <w:rFonts w:hint="eastAsia" w:ascii="宋体" w:hAnsi="宋体" w:eastAsia="宋体"/>
                <w:sz w:val="24"/>
                <w:szCs w:val="24"/>
              </w:rPr>
              <w:t>经济开发区小学</w:t>
            </w:r>
          </w:p>
        </w:tc>
        <w:tc>
          <w:tcPr>
            <w:tcW w:w="1659" w:type="dxa"/>
            <w:vAlign w:val="center"/>
          </w:tcPr>
          <w:p>
            <w:pPr>
              <w:jc w:val="center"/>
              <w:rPr>
                <w:rFonts w:ascii="宋体" w:hAnsi="宋体" w:eastAsia="宋体"/>
                <w:sz w:val="24"/>
                <w:szCs w:val="24"/>
              </w:rPr>
            </w:pPr>
            <w:r>
              <w:rPr>
                <w:rFonts w:hint="eastAsia" w:ascii="宋体" w:hAnsi="宋体" w:eastAsia="宋体"/>
                <w:sz w:val="24"/>
                <w:szCs w:val="24"/>
              </w:rPr>
              <w:t>语文</w:t>
            </w:r>
          </w:p>
        </w:tc>
        <w:tc>
          <w:tcPr>
            <w:tcW w:w="1539" w:type="dxa"/>
            <w:vAlign w:val="center"/>
          </w:tcPr>
          <w:p>
            <w:pPr>
              <w:jc w:val="center"/>
              <w:rPr>
                <w:rFonts w:hint="eastAsia" w:ascii="宋体" w:hAnsi="宋体" w:eastAsia="宋体"/>
                <w:sz w:val="24"/>
                <w:szCs w:val="24"/>
                <w:lang w:eastAsia="zh-CN"/>
              </w:rPr>
            </w:pPr>
            <w:r>
              <w:rPr>
                <w:rFonts w:hint="eastAsia" w:ascii="宋体" w:hAnsi="宋体" w:eastAsia="宋体"/>
                <w:sz w:val="24"/>
                <w:szCs w:val="24"/>
                <w:lang w:val="en-US" w:eastAsia="zh-CN"/>
              </w:rPr>
              <w:t>1</w:t>
            </w:r>
          </w:p>
        </w:tc>
        <w:tc>
          <w:tcPr>
            <w:tcW w:w="2126" w:type="dxa"/>
            <w:vAlign w:val="center"/>
          </w:tcPr>
          <w:p>
            <w:pPr>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vAlign w:val="center"/>
          </w:tcPr>
          <w:p>
            <w:pPr>
              <w:jc w:val="center"/>
              <w:rPr>
                <w:rFonts w:hint="default" w:ascii="宋体" w:hAnsi="宋体" w:eastAsia="宋体"/>
                <w:sz w:val="24"/>
                <w:szCs w:val="24"/>
                <w:lang w:val="en-US" w:eastAsia="zh-CN"/>
              </w:rPr>
            </w:pPr>
            <w:r>
              <w:rPr>
                <w:rFonts w:hint="eastAsia" w:ascii="宋体" w:hAnsi="宋体" w:eastAsia="宋体"/>
                <w:sz w:val="24"/>
                <w:szCs w:val="24"/>
                <w:lang w:val="en-US" w:eastAsia="zh-CN"/>
              </w:rPr>
              <w:t>6</w:t>
            </w:r>
          </w:p>
        </w:tc>
        <w:tc>
          <w:tcPr>
            <w:tcW w:w="2472" w:type="dxa"/>
            <w:vMerge w:val="continue"/>
            <w:vAlign w:val="center"/>
          </w:tcPr>
          <w:p>
            <w:pPr>
              <w:jc w:val="center"/>
              <w:rPr>
                <w:rFonts w:ascii="宋体" w:hAnsi="宋体" w:eastAsia="宋体"/>
                <w:sz w:val="24"/>
                <w:szCs w:val="24"/>
              </w:rPr>
            </w:pPr>
          </w:p>
        </w:tc>
        <w:tc>
          <w:tcPr>
            <w:tcW w:w="1659" w:type="dxa"/>
            <w:vAlign w:val="center"/>
          </w:tcPr>
          <w:p>
            <w:pPr>
              <w:jc w:val="center"/>
              <w:rPr>
                <w:rFonts w:ascii="宋体" w:hAnsi="宋体" w:eastAsia="宋体"/>
                <w:sz w:val="24"/>
                <w:szCs w:val="24"/>
              </w:rPr>
            </w:pPr>
            <w:r>
              <w:rPr>
                <w:rFonts w:hint="eastAsia" w:ascii="宋体" w:hAnsi="宋体" w:eastAsia="宋体"/>
                <w:sz w:val="24"/>
                <w:szCs w:val="24"/>
              </w:rPr>
              <w:t>数学</w:t>
            </w:r>
          </w:p>
        </w:tc>
        <w:tc>
          <w:tcPr>
            <w:tcW w:w="1539" w:type="dxa"/>
            <w:vAlign w:val="center"/>
          </w:tcPr>
          <w:p>
            <w:pPr>
              <w:jc w:val="center"/>
              <w:rPr>
                <w:rFonts w:ascii="宋体" w:hAnsi="宋体" w:eastAsia="宋体"/>
                <w:sz w:val="24"/>
                <w:szCs w:val="24"/>
              </w:rPr>
            </w:pPr>
            <w:r>
              <w:rPr>
                <w:rFonts w:hint="eastAsia" w:ascii="宋体" w:hAnsi="宋体" w:eastAsia="宋体"/>
                <w:sz w:val="24"/>
                <w:szCs w:val="24"/>
              </w:rPr>
              <w:t>1</w:t>
            </w:r>
          </w:p>
        </w:tc>
        <w:tc>
          <w:tcPr>
            <w:tcW w:w="2126" w:type="dxa"/>
            <w:vAlign w:val="center"/>
          </w:tcPr>
          <w:p>
            <w:pPr>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vAlign w:val="center"/>
          </w:tcPr>
          <w:p>
            <w:pPr>
              <w:jc w:val="center"/>
              <w:rPr>
                <w:rFonts w:hint="default" w:ascii="宋体" w:hAnsi="宋体" w:eastAsia="宋体"/>
                <w:sz w:val="24"/>
                <w:szCs w:val="24"/>
                <w:lang w:val="en-US" w:eastAsia="zh-CN"/>
              </w:rPr>
            </w:pPr>
            <w:r>
              <w:rPr>
                <w:rFonts w:hint="eastAsia" w:ascii="宋体" w:hAnsi="宋体" w:eastAsia="宋体"/>
                <w:sz w:val="24"/>
                <w:szCs w:val="24"/>
                <w:lang w:val="en-US" w:eastAsia="zh-CN"/>
              </w:rPr>
              <w:t>7</w:t>
            </w:r>
          </w:p>
        </w:tc>
        <w:tc>
          <w:tcPr>
            <w:tcW w:w="2472" w:type="dxa"/>
            <w:vMerge w:val="restart"/>
            <w:vAlign w:val="center"/>
          </w:tcPr>
          <w:p>
            <w:pPr>
              <w:jc w:val="center"/>
              <w:rPr>
                <w:rFonts w:ascii="宋体" w:hAnsi="宋体" w:eastAsia="宋体"/>
                <w:sz w:val="24"/>
                <w:szCs w:val="24"/>
              </w:rPr>
            </w:pPr>
            <w:r>
              <w:rPr>
                <w:rFonts w:hint="eastAsia" w:ascii="宋体" w:hAnsi="宋体" w:eastAsia="宋体"/>
                <w:sz w:val="24"/>
                <w:szCs w:val="24"/>
              </w:rPr>
              <w:t>衢州第二中专</w:t>
            </w:r>
          </w:p>
        </w:tc>
        <w:tc>
          <w:tcPr>
            <w:tcW w:w="1659" w:type="dxa"/>
            <w:vAlign w:val="center"/>
          </w:tcPr>
          <w:p>
            <w:pPr>
              <w:jc w:val="center"/>
              <w:rPr>
                <w:rFonts w:ascii="宋体" w:hAnsi="宋体" w:eastAsia="宋体"/>
                <w:sz w:val="24"/>
                <w:szCs w:val="24"/>
              </w:rPr>
            </w:pPr>
            <w:r>
              <w:rPr>
                <w:rFonts w:hint="eastAsia" w:ascii="宋体" w:hAnsi="宋体" w:eastAsia="宋体"/>
                <w:sz w:val="24"/>
                <w:szCs w:val="24"/>
              </w:rPr>
              <w:t>电子</w:t>
            </w:r>
          </w:p>
        </w:tc>
        <w:tc>
          <w:tcPr>
            <w:tcW w:w="1539" w:type="dxa"/>
            <w:vAlign w:val="center"/>
          </w:tcPr>
          <w:p>
            <w:pPr>
              <w:jc w:val="center"/>
              <w:rPr>
                <w:rFonts w:ascii="宋体" w:hAnsi="宋体" w:eastAsia="宋体"/>
                <w:sz w:val="24"/>
                <w:szCs w:val="24"/>
              </w:rPr>
            </w:pPr>
            <w:r>
              <w:rPr>
                <w:rFonts w:hint="eastAsia" w:ascii="宋体" w:hAnsi="宋体" w:eastAsia="宋体"/>
                <w:sz w:val="24"/>
                <w:szCs w:val="24"/>
              </w:rPr>
              <w:t>1</w:t>
            </w:r>
          </w:p>
        </w:tc>
        <w:tc>
          <w:tcPr>
            <w:tcW w:w="2126" w:type="dxa"/>
            <w:vAlign w:val="center"/>
          </w:tcPr>
          <w:p>
            <w:pPr>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vAlign w:val="center"/>
          </w:tcPr>
          <w:p>
            <w:pPr>
              <w:jc w:val="center"/>
              <w:rPr>
                <w:rFonts w:hint="default" w:ascii="宋体" w:hAnsi="宋体" w:eastAsia="宋体"/>
                <w:sz w:val="24"/>
                <w:szCs w:val="24"/>
                <w:lang w:val="en-US" w:eastAsia="zh-CN"/>
              </w:rPr>
            </w:pPr>
            <w:r>
              <w:rPr>
                <w:rFonts w:hint="eastAsia" w:ascii="宋体" w:hAnsi="宋体" w:eastAsia="宋体"/>
                <w:sz w:val="24"/>
                <w:szCs w:val="24"/>
                <w:lang w:val="en-US" w:eastAsia="zh-CN"/>
              </w:rPr>
              <w:t>8</w:t>
            </w:r>
          </w:p>
        </w:tc>
        <w:tc>
          <w:tcPr>
            <w:tcW w:w="2472" w:type="dxa"/>
            <w:vMerge w:val="continue"/>
            <w:vAlign w:val="center"/>
          </w:tcPr>
          <w:p>
            <w:pPr>
              <w:jc w:val="center"/>
              <w:rPr>
                <w:rFonts w:ascii="宋体" w:hAnsi="宋体" w:eastAsia="宋体"/>
                <w:sz w:val="24"/>
                <w:szCs w:val="24"/>
              </w:rPr>
            </w:pPr>
          </w:p>
        </w:tc>
        <w:tc>
          <w:tcPr>
            <w:tcW w:w="1659" w:type="dxa"/>
            <w:vAlign w:val="center"/>
          </w:tcPr>
          <w:p>
            <w:pPr>
              <w:jc w:val="center"/>
              <w:rPr>
                <w:rFonts w:ascii="宋体" w:hAnsi="宋体" w:eastAsia="宋体"/>
                <w:sz w:val="24"/>
                <w:szCs w:val="24"/>
              </w:rPr>
            </w:pPr>
            <w:r>
              <w:rPr>
                <w:rFonts w:hint="eastAsia" w:ascii="宋体" w:hAnsi="宋体" w:eastAsia="宋体"/>
                <w:sz w:val="24"/>
                <w:szCs w:val="24"/>
              </w:rPr>
              <w:t>园林</w:t>
            </w:r>
          </w:p>
        </w:tc>
        <w:tc>
          <w:tcPr>
            <w:tcW w:w="1539" w:type="dxa"/>
            <w:vAlign w:val="center"/>
          </w:tcPr>
          <w:p>
            <w:pPr>
              <w:jc w:val="center"/>
              <w:rPr>
                <w:rFonts w:ascii="宋体" w:hAnsi="宋体" w:eastAsia="宋体"/>
                <w:sz w:val="24"/>
                <w:szCs w:val="24"/>
              </w:rPr>
            </w:pPr>
            <w:r>
              <w:rPr>
                <w:rFonts w:hint="eastAsia" w:ascii="宋体" w:hAnsi="宋体" w:eastAsia="宋体"/>
                <w:sz w:val="24"/>
                <w:szCs w:val="24"/>
              </w:rPr>
              <w:t>1</w:t>
            </w:r>
          </w:p>
        </w:tc>
        <w:tc>
          <w:tcPr>
            <w:tcW w:w="2126" w:type="dxa"/>
            <w:vAlign w:val="center"/>
          </w:tcPr>
          <w:p>
            <w:pPr>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vAlign w:val="center"/>
          </w:tcPr>
          <w:p>
            <w:pPr>
              <w:jc w:val="center"/>
              <w:rPr>
                <w:rFonts w:hint="default" w:ascii="宋体" w:hAnsi="宋体" w:eastAsia="宋体"/>
                <w:sz w:val="24"/>
                <w:szCs w:val="24"/>
                <w:lang w:val="en-US" w:eastAsia="zh-CN"/>
              </w:rPr>
            </w:pPr>
            <w:r>
              <w:rPr>
                <w:rFonts w:hint="eastAsia" w:ascii="宋体" w:hAnsi="宋体" w:eastAsia="宋体"/>
                <w:sz w:val="24"/>
                <w:szCs w:val="24"/>
                <w:lang w:val="en-US" w:eastAsia="zh-CN"/>
              </w:rPr>
              <w:t>9</w:t>
            </w:r>
          </w:p>
        </w:tc>
        <w:tc>
          <w:tcPr>
            <w:tcW w:w="2472" w:type="dxa"/>
            <w:vMerge w:val="continue"/>
            <w:vAlign w:val="center"/>
          </w:tcPr>
          <w:p>
            <w:pPr>
              <w:jc w:val="center"/>
              <w:rPr>
                <w:rFonts w:ascii="宋体" w:hAnsi="宋体" w:eastAsia="宋体"/>
                <w:sz w:val="24"/>
                <w:szCs w:val="24"/>
              </w:rPr>
            </w:pPr>
          </w:p>
        </w:tc>
        <w:tc>
          <w:tcPr>
            <w:tcW w:w="1659" w:type="dxa"/>
            <w:vAlign w:val="center"/>
          </w:tcPr>
          <w:p>
            <w:pPr>
              <w:jc w:val="center"/>
              <w:rPr>
                <w:rFonts w:ascii="宋体" w:hAnsi="宋体" w:eastAsia="宋体"/>
                <w:sz w:val="24"/>
                <w:szCs w:val="24"/>
              </w:rPr>
            </w:pPr>
            <w:r>
              <w:rPr>
                <w:rFonts w:hint="eastAsia" w:ascii="宋体" w:hAnsi="宋体" w:eastAsia="宋体"/>
                <w:sz w:val="24"/>
                <w:szCs w:val="24"/>
              </w:rPr>
              <w:t>旅游</w:t>
            </w:r>
          </w:p>
        </w:tc>
        <w:tc>
          <w:tcPr>
            <w:tcW w:w="1539" w:type="dxa"/>
            <w:vAlign w:val="center"/>
          </w:tcPr>
          <w:p>
            <w:pPr>
              <w:jc w:val="center"/>
              <w:rPr>
                <w:rFonts w:ascii="宋体" w:hAnsi="宋体" w:eastAsia="宋体"/>
                <w:sz w:val="24"/>
                <w:szCs w:val="24"/>
              </w:rPr>
            </w:pPr>
            <w:r>
              <w:rPr>
                <w:rFonts w:hint="eastAsia" w:ascii="宋体" w:hAnsi="宋体" w:eastAsia="宋体"/>
                <w:sz w:val="24"/>
                <w:szCs w:val="24"/>
              </w:rPr>
              <w:t>1</w:t>
            </w:r>
          </w:p>
        </w:tc>
        <w:tc>
          <w:tcPr>
            <w:tcW w:w="2126" w:type="dxa"/>
            <w:vAlign w:val="center"/>
          </w:tcPr>
          <w:p>
            <w:pPr>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6" w:type="dxa"/>
            <w:vAlign w:val="center"/>
          </w:tcPr>
          <w:p>
            <w:pPr>
              <w:jc w:val="center"/>
              <w:rPr>
                <w:rFonts w:hint="default" w:ascii="宋体" w:hAnsi="宋体" w:eastAsia="宋体"/>
                <w:sz w:val="24"/>
                <w:szCs w:val="24"/>
                <w:lang w:val="en-US" w:eastAsia="zh-CN"/>
              </w:rPr>
            </w:pPr>
            <w:r>
              <w:rPr>
                <w:rFonts w:hint="eastAsia" w:ascii="宋体" w:hAnsi="宋体" w:eastAsia="宋体"/>
                <w:sz w:val="24"/>
                <w:szCs w:val="24"/>
                <w:lang w:val="en-US" w:eastAsia="zh-CN"/>
              </w:rPr>
              <w:t>10</w:t>
            </w:r>
          </w:p>
        </w:tc>
        <w:tc>
          <w:tcPr>
            <w:tcW w:w="2472" w:type="dxa"/>
            <w:vAlign w:val="center"/>
          </w:tcPr>
          <w:p>
            <w:pPr>
              <w:jc w:val="center"/>
              <w:rPr>
                <w:rFonts w:ascii="宋体" w:hAnsi="宋体" w:eastAsia="宋体"/>
                <w:sz w:val="24"/>
                <w:szCs w:val="24"/>
              </w:rPr>
            </w:pPr>
            <w:r>
              <w:rPr>
                <w:rFonts w:hint="eastAsia" w:ascii="宋体" w:hAnsi="宋体" w:eastAsia="宋体"/>
                <w:sz w:val="24"/>
                <w:szCs w:val="24"/>
              </w:rPr>
              <w:t>城区公办幼儿园</w:t>
            </w:r>
          </w:p>
        </w:tc>
        <w:tc>
          <w:tcPr>
            <w:tcW w:w="1659" w:type="dxa"/>
            <w:vAlign w:val="center"/>
          </w:tcPr>
          <w:p>
            <w:pPr>
              <w:jc w:val="center"/>
              <w:rPr>
                <w:rFonts w:ascii="宋体" w:hAnsi="宋体" w:eastAsia="宋体"/>
                <w:sz w:val="24"/>
                <w:szCs w:val="24"/>
              </w:rPr>
            </w:pPr>
            <w:r>
              <w:rPr>
                <w:rFonts w:hint="eastAsia" w:ascii="宋体" w:hAnsi="宋体" w:eastAsia="宋体"/>
                <w:sz w:val="24"/>
                <w:szCs w:val="24"/>
              </w:rPr>
              <w:t>幼教</w:t>
            </w:r>
          </w:p>
        </w:tc>
        <w:tc>
          <w:tcPr>
            <w:tcW w:w="1539" w:type="dxa"/>
            <w:vAlign w:val="center"/>
          </w:tcPr>
          <w:p>
            <w:pPr>
              <w:jc w:val="center"/>
              <w:rPr>
                <w:rFonts w:hint="eastAsia" w:ascii="宋体" w:hAnsi="宋体" w:eastAsia="宋体"/>
                <w:sz w:val="24"/>
                <w:szCs w:val="24"/>
                <w:lang w:eastAsia="zh-CN"/>
              </w:rPr>
            </w:pPr>
            <w:r>
              <w:rPr>
                <w:rFonts w:hint="eastAsia" w:ascii="宋体" w:hAnsi="宋体" w:eastAsia="宋体"/>
                <w:sz w:val="24"/>
                <w:szCs w:val="24"/>
                <w:lang w:val="en-US" w:eastAsia="zh-CN"/>
              </w:rPr>
              <w:t>3</w:t>
            </w:r>
          </w:p>
        </w:tc>
        <w:tc>
          <w:tcPr>
            <w:tcW w:w="2126" w:type="dxa"/>
            <w:vAlign w:val="center"/>
          </w:tcPr>
          <w:p>
            <w:pPr>
              <w:jc w:val="center"/>
              <w:rPr>
                <w:rStyle w:val="11"/>
              </w:rPr>
            </w:pPr>
            <w:r>
              <w:rPr>
                <w:rFonts w:hint="eastAsia" w:ascii="宋体" w:hAnsi="宋体" w:eastAsia="宋体"/>
                <w:sz w:val="24"/>
                <w:szCs w:val="24"/>
              </w:rPr>
              <w:t>须技能测试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4977" w:type="dxa"/>
            <w:gridSpan w:val="3"/>
            <w:vAlign w:val="center"/>
          </w:tcPr>
          <w:p>
            <w:pPr>
              <w:jc w:val="center"/>
              <w:rPr>
                <w:rFonts w:ascii="宋体" w:hAnsi="宋体" w:eastAsia="宋体"/>
                <w:sz w:val="24"/>
                <w:szCs w:val="24"/>
              </w:rPr>
            </w:pPr>
            <w:r>
              <w:rPr>
                <w:rFonts w:hint="eastAsia" w:ascii="宋体" w:hAnsi="宋体" w:eastAsia="宋体"/>
                <w:sz w:val="24"/>
                <w:szCs w:val="24"/>
              </w:rPr>
              <w:t>合计</w:t>
            </w:r>
          </w:p>
        </w:tc>
        <w:tc>
          <w:tcPr>
            <w:tcW w:w="1539" w:type="dxa"/>
            <w:vAlign w:val="center"/>
          </w:tcPr>
          <w:p>
            <w:pPr>
              <w:jc w:val="center"/>
              <w:rPr>
                <w:rFonts w:hint="default" w:ascii="宋体" w:hAnsi="宋体" w:eastAsia="宋体"/>
                <w:sz w:val="24"/>
                <w:szCs w:val="24"/>
                <w:lang w:val="en-US" w:eastAsia="zh-CN"/>
              </w:rPr>
            </w:pPr>
            <w:r>
              <w:rPr>
                <w:rFonts w:hint="eastAsia" w:ascii="宋体" w:hAnsi="宋体" w:eastAsia="宋体"/>
                <w:sz w:val="24"/>
                <w:szCs w:val="24"/>
                <w:lang w:val="en-US" w:eastAsia="zh-CN"/>
              </w:rPr>
              <w:t>12</w:t>
            </w:r>
          </w:p>
        </w:tc>
        <w:tc>
          <w:tcPr>
            <w:tcW w:w="2126" w:type="dxa"/>
            <w:vAlign w:val="center"/>
          </w:tcPr>
          <w:p>
            <w:pPr>
              <w:jc w:val="center"/>
              <w:rPr>
                <w:rFonts w:ascii="宋体" w:hAnsi="宋体" w:eastAsia="宋体"/>
                <w:sz w:val="24"/>
                <w:szCs w:val="24"/>
              </w:rPr>
            </w:pPr>
          </w:p>
        </w:tc>
      </w:tr>
    </w:tbl>
    <w:p>
      <w:pPr>
        <w:keepNext w:val="0"/>
        <w:keepLines w:val="0"/>
        <w:pageBreakBefore w:val="0"/>
        <w:widowControl w:val="0"/>
        <w:kinsoku/>
        <w:wordWrap/>
        <w:overflowPunct/>
        <w:topLinePunct w:val="0"/>
        <w:autoSpaceDE/>
        <w:autoSpaceDN/>
        <w:bidi w:val="0"/>
        <w:adjustRightInd/>
        <w:snapToGrid/>
        <w:spacing w:line="540" w:lineRule="exact"/>
        <w:textAlignment w:val="auto"/>
        <w:rPr>
          <w:rFonts w:ascii="仿宋_GB2312" w:eastAsia="仿宋_GB2312"/>
          <w:sz w:val="32"/>
          <w:szCs w:val="32"/>
        </w:rPr>
      </w:pPr>
      <w:r>
        <w:rPr>
          <w:rFonts w:hint="eastAsia" w:ascii="仿宋_GB2312" w:eastAsia="仿宋_GB2312"/>
          <w:sz w:val="32"/>
          <w:szCs w:val="32"/>
        </w:rPr>
        <w:t>注：各招聘岗位的招聘计划可视生源情况进行调整。</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sz w:val="32"/>
          <w:szCs w:val="32"/>
        </w:rPr>
      </w:pPr>
      <w:r>
        <w:rPr>
          <w:rFonts w:hint="eastAsia" w:ascii="黑体" w:hAnsi="黑体" w:eastAsia="黑体"/>
          <w:sz w:val="32"/>
          <w:szCs w:val="32"/>
        </w:rPr>
        <w:t>二、招聘范围</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rPr>
        <w:t>报聘对象应具备热爱教育事业、思想政治素质好、身心健康等基本条件，同时还应具备以下具体条件：</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ascii="仿宋_GB2312" w:eastAsia="仿宋_GB2312"/>
          <w:b/>
          <w:bCs/>
          <w:sz w:val="32"/>
          <w:szCs w:val="32"/>
        </w:rPr>
      </w:pPr>
      <w:r>
        <w:rPr>
          <w:rFonts w:hint="eastAsia" w:ascii="仿宋_GB2312" w:eastAsia="仿宋_GB2312"/>
          <w:b/>
          <w:bCs/>
          <w:sz w:val="32"/>
          <w:szCs w:val="32"/>
        </w:rPr>
        <w:t>（一）招聘对象</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1.全日制普通高校本科师范专业2022年应届毕业生；</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2.硕士研究生及以上学历的2022年应届毕业生；</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3.原国家“985”“211”高校及“世界一流大学”建设高校和“世界一流学科”建设高校对应专业的全日制普通高校2022年应届本科毕业生；</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4.获得省级优秀毕业生称号的全日制普通高校2022年应届本科毕业生；</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5.浙江省一级普通高中特色示范学校应届考上一段线高校本科专业的2022年应届毕业生。</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ascii="仿宋_GB2312" w:eastAsia="仿宋_GB2312"/>
          <w:b/>
          <w:bCs/>
          <w:sz w:val="32"/>
          <w:szCs w:val="32"/>
        </w:rPr>
      </w:pPr>
      <w:r>
        <w:rPr>
          <w:rFonts w:hint="eastAsia" w:ascii="仿宋_GB2312" w:eastAsia="仿宋_GB2312"/>
          <w:b/>
          <w:bCs/>
          <w:sz w:val="32"/>
          <w:szCs w:val="32"/>
        </w:rPr>
        <w:t>（二）年龄和户籍要求</w:t>
      </w:r>
      <w:r>
        <w:rPr>
          <w:rFonts w:ascii="仿宋_GB2312" w:eastAsia="仿宋_GB2312"/>
          <w:b/>
          <w:bCs/>
          <w:sz w:val="32"/>
          <w:szCs w:val="32"/>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ascii="仿宋_GB2312" w:eastAsia="仿宋_GB2312"/>
          <w:sz w:val="32"/>
          <w:szCs w:val="32"/>
        </w:rPr>
        <w:t xml:space="preserve">本科生于1993年1月1日及以后出生，研究生及以上学历于1989年1月1日及以后出生（研究生有支教经历的，可根据支教年限适当放宽年龄要求）。报名对象户籍不限。  </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ascii="仿宋_GB2312" w:eastAsia="仿宋_GB2312"/>
          <w:b/>
          <w:bCs/>
          <w:sz w:val="32"/>
          <w:szCs w:val="32"/>
        </w:rPr>
      </w:pPr>
      <w:r>
        <w:rPr>
          <w:rFonts w:ascii="仿宋_GB2312" w:eastAsia="仿宋_GB2312"/>
          <w:b/>
          <w:bCs/>
          <w:sz w:val="32"/>
          <w:szCs w:val="32"/>
        </w:rPr>
        <w:t xml:space="preserve">（三）教师资格及专业要求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 xml:space="preserve">1.报名时教师资格证和普通话等级证书暂不作要求，但在正式录用前须取得与招聘岗位相一致的教师资格证（或国家教师资格考试合格证明和适用的普通话等级证书），否则取消录用资格；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rPr>
        <w:t>2.本科学历者要求所学专业和教师资格证与招聘岗位相一致，硕士研究生学历者要求所学专业或教师资格证与招聘岗位相一致。</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sz w:val="32"/>
          <w:szCs w:val="32"/>
        </w:rPr>
      </w:pPr>
      <w:r>
        <w:rPr>
          <w:rFonts w:hint="eastAsia" w:ascii="黑体" w:hAnsi="黑体" w:eastAsia="黑体"/>
          <w:sz w:val="32"/>
          <w:szCs w:val="32"/>
        </w:rPr>
        <w:t>三、招聘时间、地点和报名方式</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ascii="仿宋_GB2312" w:eastAsia="仿宋_GB2312"/>
          <w:b/>
          <w:bCs/>
          <w:sz w:val="32"/>
          <w:szCs w:val="32"/>
        </w:rPr>
      </w:pPr>
      <w:r>
        <w:rPr>
          <w:rFonts w:hint="eastAsia" w:ascii="仿宋_GB2312" w:eastAsia="仿宋_GB2312"/>
          <w:b/>
          <w:bCs/>
          <w:sz w:val="32"/>
          <w:szCs w:val="32"/>
        </w:rPr>
        <w:t>（一）招聘时间</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rPr>
        <w:t>2</w:t>
      </w:r>
      <w:r>
        <w:rPr>
          <w:rFonts w:ascii="仿宋_GB2312" w:eastAsia="仿宋_GB2312"/>
          <w:sz w:val="32"/>
          <w:szCs w:val="32"/>
        </w:rPr>
        <w:t>021</w:t>
      </w:r>
      <w:r>
        <w:rPr>
          <w:rFonts w:hint="eastAsia" w:ascii="仿宋_GB2312" w:eastAsia="仿宋_GB2312"/>
          <w:sz w:val="32"/>
          <w:szCs w:val="32"/>
        </w:rPr>
        <w:t>年1</w:t>
      </w:r>
      <w:r>
        <w:rPr>
          <w:rFonts w:ascii="仿宋_GB2312" w:eastAsia="仿宋_GB2312"/>
          <w:sz w:val="32"/>
          <w:szCs w:val="32"/>
        </w:rPr>
        <w:t>1</w:t>
      </w:r>
      <w:r>
        <w:rPr>
          <w:rFonts w:hint="eastAsia" w:ascii="仿宋_GB2312" w:eastAsia="仿宋_GB2312"/>
          <w:sz w:val="32"/>
          <w:szCs w:val="32"/>
        </w:rPr>
        <w:t>月6日</w:t>
      </w:r>
      <w:r>
        <w:rPr>
          <w:rFonts w:hint="eastAsia" w:ascii="仿宋_GB2312" w:eastAsia="仿宋_GB2312"/>
          <w:sz w:val="32"/>
          <w:szCs w:val="32"/>
          <w:lang w:eastAsia="zh-CN"/>
        </w:rPr>
        <w:t>（上午组织现场报名，中午筛选入围测试名单，下午开始各项测试）</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ascii="仿宋_GB2312" w:eastAsia="仿宋_GB2312"/>
          <w:b/>
          <w:bCs/>
          <w:sz w:val="32"/>
          <w:szCs w:val="32"/>
        </w:rPr>
      </w:pPr>
      <w:r>
        <w:rPr>
          <w:rFonts w:hint="eastAsia" w:ascii="仿宋_GB2312" w:eastAsia="仿宋_GB2312"/>
          <w:b/>
          <w:bCs/>
          <w:sz w:val="32"/>
          <w:szCs w:val="32"/>
        </w:rPr>
        <w:t>（二）报名地点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b/>
          <w:bCs/>
          <w:sz w:val="32"/>
          <w:szCs w:val="32"/>
          <w:lang w:eastAsia="zh-CN"/>
        </w:rPr>
      </w:pPr>
      <w:r>
        <w:rPr>
          <w:rFonts w:hint="eastAsia" w:ascii="仿宋_GB2312" w:eastAsia="仿宋_GB2312"/>
          <w:sz w:val="32"/>
          <w:szCs w:val="32"/>
        </w:rPr>
        <w:t>杭州师范大学仓前校区B区操场江山市教育局展位</w:t>
      </w:r>
      <w:r>
        <w:rPr>
          <w:rFonts w:hint="eastAsia" w:ascii="仿宋_GB2312" w:eastAsia="仿宋_GB2312"/>
          <w:sz w:val="32"/>
          <w:szCs w:val="32"/>
          <w:lang w:eastAsia="zh-CN"/>
        </w:rPr>
        <w:t>，校外报名地点：桔子酒店杭州未来科技城店（杭州市余杭区余杭塘路1299号瑞谷中心7幢）</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ascii="仿宋_GB2312" w:eastAsia="仿宋_GB2312"/>
          <w:b/>
          <w:bCs/>
          <w:sz w:val="32"/>
          <w:szCs w:val="32"/>
        </w:rPr>
      </w:pPr>
      <w:r>
        <w:rPr>
          <w:rFonts w:hint="eastAsia" w:ascii="仿宋_GB2312" w:eastAsia="仿宋_GB2312"/>
          <w:b/>
          <w:bCs/>
          <w:sz w:val="32"/>
          <w:szCs w:val="32"/>
        </w:rPr>
        <w:t>（三）报名方式</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ascii="仿宋_GB2312" w:eastAsia="仿宋_GB2312"/>
          <w:sz w:val="32"/>
          <w:szCs w:val="32"/>
        </w:rPr>
        <w:t>采用网上预报名与现场报名相结合的形式</w:t>
      </w:r>
      <w:r>
        <w:rPr>
          <w:rFonts w:hint="eastAsia" w:ascii="仿宋_GB2312" w:eastAsia="仿宋_GB2312"/>
          <w:sz w:val="32"/>
          <w:szCs w:val="32"/>
        </w:rPr>
        <w:t>。请考生于1</w:t>
      </w:r>
      <w:r>
        <w:rPr>
          <w:rFonts w:ascii="仿宋_GB2312" w:eastAsia="仿宋_GB2312"/>
          <w:sz w:val="32"/>
          <w:szCs w:val="32"/>
        </w:rPr>
        <w:t>1</w:t>
      </w:r>
      <w:r>
        <w:rPr>
          <w:rFonts w:hint="eastAsia" w:ascii="仿宋_GB2312" w:eastAsia="仿宋_GB2312"/>
          <w:sz w:val="32"/>
          <w:szCs w:val="32"/>
        </w:rPr>
        <w:t>月5日上午1</w:t>
      </w:r>
      <w:r>
        <w:rPr>
          <w:rFonts w:ascii="仿宋_GB2312" w:eastAsia="仿宋_GB2312"/>
          <w:sz w:val="32"/>
          <w:szCs w:val="32"/>
        </w:rPr>
        <w:t>1</w:t>
      </w:r>
      <w:r>
        <w:rPr>
          <w:rFonts w:hint="eastAsia" w:ascii="仿宋_GB2312" w:eastAsia="仿宋_GB2312"/>
          <w:sz w:val="32"/>
          <w:szCs w:val="32"/>
        </w:rPr>
        <w:t>点前登录网址：https://www.wjx.top/vj/YtUsOHB.aspx或扫描本公告下方二维码进行预报名，并于1</w:t>
      </w:r>
      <w:r>
        <w:rPr>
          <w:rFonts w:ascii="仿宋_GB2312" w:eastAsia="仿宋_GB2312"/>
          <w:sz w:val="32"/>
          <w:szCs w:val="32"/>
        </w:rPr>
        <w:t>1</w:t>
      </w:r>
      <w:r>
        <w:rPr>
          <w:rFonts w:hint="eastAsia" w:ascii="仿宋_GB2312" w:eastAsia="仿宋_GB2312"/>
          <w:sz w:val="32"/>
          <w:szCs w:val="32"/>
        </w:rPr>
        <w:t>月6日上午</w:t>
      </w:r>
      <w:r>
        <w:rPr>
          <w:rFonts w:ascii="仿宋_GB2312" w:eastAsia="仿宋_GB2312"/>
          <w:sz w:val="32"/>
          <w:szCs w:val="32"/>
        </w:rPr>
        <w:t>9</w:t>
      </w:r>
      <w:r>
        <w:rPr>
          <w:rFonts w:hint="eastAsia" w:ascii="仿宋_GB2312" w:eastAsia="仿宋_GB2312"/>
          <w:sz w:val="32"/>
          <w:szCs w:val="32"/>
        </w:rPr>
        <w:t>:</w:t>
      </w:r>
      <w:r>
        <w:rPr>
          <w:rFonts w:ascii="仿宋_GB2312" w:eastAsia="仿宋_GB2312"/>
          <w:sz w:val="32"/>
          <w:szCs w:val="32"/>
        </w:rPr>
        <w:t>00——11</w:t>
      </w:r>
      <w:r>
        <w:rPr>
          <w:rFonts w:hint="eastAsia" w:ascii="仿宋_GB2312" w:eastAsia="仿宋_GB2312"/>
          <w:sz w:val="32"/>
          <w:szCs w:val="32"/>
        </w:rPr>
        <w:t>:</w:t>
      </w:r>
      <w:r>
        <w:rPr>
          <w:rFonts w:ascii="仿宋_GB2312" w:eastAsia="仿宋_GB2312"/>
          <w:sz w:val="32"/>
          <w:szCs w:val="32"/>
        </w:rPr>
        <w:t>00</w:t>
      </w:r>
      <w:r>
        <w:rPr>
          <w:rFonts w:hint="eastAsia" w:ascii="仿宋_GB2312" w:eastAsia="仿宋_GB2312"/>
          <w:sz w:val="32"/>
          <w:szCs w:val="32"/>
        </w:rPr>
        <w:t>携带报名表及相关报名材料（详见附件1、附件2）到报名地点现场报名。</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ascii="仿宋_GB2312" w:eastAsia="仿宋_GB2312"/>
          <w:b/>
          <w:bCs/>
          <w:sz w:val="32"/>
          <w:szCs w:val="32"/>
        </w:rPr>
      </w:pPr>
      <w:r>
        <w:rPr>
          <w:rFonts w:hint="eastAsia" w:ascii="仿宋_GB2312" w:eastAsia="仿宋_GB2312"/>
          <w:b/>
          <w:bCs/>
          <w:sz w:val="32"/>
          <w:szCs w:val="32"/>
        </w:rPr>
        <w:t>（四）注意事项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rPr>
        <w:t>1</w:t>
      </w:r>
      <w:r>
        <w:rPr>
          <w:rFonts w:ascii="仿宋_GB2312" w:eastAsia="仿宋_GB2312"/>
          <w:sz w:val="32"/>
          <w:szCs w:val="32"/>
        </w:rPr>
        <w:t>.</w:t>
      </w:r>
      <w:r>
        <w:rPr>
          <w:rFonts w:hint="eastAsia" w:ascii="仿宋_GB2312" w:eastAsia="仿宋_GB2312"/>
          <w:sz w:val="32"/>
          <w:szCs w:val="32"/>
        </w:rPr>
        <w:t>根据杭州师范大学疫情防控要求，杭州师范大学仅面向省内高校学生、省内教育类用人单位开放；入校人员（包车前来的高校师生除外）全部需要扫码填写“个人信息登记表”（附件4</w:t>
      </w:r>
      <w:r>
        <w:rPr>
          <w:rFonts w:ascii="仿宋_GB2312" w:eastAsia="仿宋_GB2312"/>
          <w:sz w:val="32"/>
          <w:szCs w:val="32"/>
        </w:rPr>
        <w:t>），审核通过后会将入校码以短信形式发送至个人手机号，无入校码不得进校。</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ascii="仿宋_GB2312" w:eastAsia="仿宋_GB2312"/>
          <w:sz w:val="32"/>
          <w:szCs w:val="32"/>
        </w:rPr>
        <w:t>2.①存在以下情况的人员不得入校：境外返回人员35天内、中高风险地区28天内、中高风险地区所在城市其他低风险地区14天内，密接和次密接人员21天内、特殊岗位（隔离点工作人员、物流仓储闭环工作人员、核酸检测及物流人员）、未完全接种新冠病毒疫苗。②健康码和14天行程卡为绿色、且行程卡所经地点不带星号※、14天内途经省外人员申请进校的需要48小时内核酸阴性报告（48小时按检测取样时间到进校时间算），再凭借入校码方可进校。③进校前14天内在浙江省内的人员，持入校码、健康绿码和防疫行程卡进校，缺一不可。④招聘活动当天，</w:t>
      </w:r>
      <w:r>
        <w:rPr>
          <w:rFonts w:hint="eastAsia" w:ascii="仿宋_GB2312" w:eastAsia="仿宋_GB2312"/>
          <w:sz w:val="32"/>
          <w:szCs w:val="32"/>
        </w:rPr>
        <w:t>进校人员进校需配戴好口罩，无发热、咳嗽等症状，且实际来校参会人员应与报名填表参会人员一致，绝不能出现随意更换、顶替或临时增加人员的情况。</w:t>
      </w:r>
      <w:r>
        <w:rPr>
          <w:rFonts w:ascii="仿宋_GB2312" w:eastAsia="仿宋_GB2312"/>
          <w:sz w:val="32"/>
          <w:szCs w:val="32"/>
        </w:rPr>
        <w:t>后期</w:t>
      </w:r>
      <w:r>
        <w:rPr>
          <w:rFonts w:hint="eastAsia" w:ascii="仿宋_GB2312" w:eastAsia="仿宋_GB2312"/>
          <w:sz w:val="32"/>
          <w:szCs w:val="32"/>
        </w:rPr>
        <w:t>杭州师范大学</w:t>
      </w:r>
      <w:r>
        <w:rPr>
          <w:rFonts w:ascii="仿宋_GB2312" w:eastAsia="仿宋_GB2312"/>
          <w:sz w:val="32"/>
          <w:szCs w:val="32"/>
        </w:rPr>
        <w:t>防控政策按疫情随时进行调整。</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sz w:val="32"/>
          <w:szCs w:val="32"/>
        </w:rPr>
      </w:pPr>
      <w:r>
        <w:rPr>
          <w:rFonts w:hint="eastAsia" w:ascii="黑体" w:hAnsi="黑体" w:eastAsia="黑体"/>
          <w:sz w:val="32"/>
          <w:szCs w:val="32"/>
        </w:rPr>
        <w:t>四、招聘程序</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ascii="仿宋_GB2312" w:eastAsia="仿宋_GB2312"/>
          <w:b/>
          <w:bCs/>
          <w:sz w:val="32"/>
          <w:szCs w:val="32"/>
        </w:rPr>
      </w:pPr>
      <w:r>
        <w:rPr>
          <w:rFonts w:hint="eastAsia" w:ascii="仿宋_GB2312" w:eastAsia="仿宋_GB2312"/>
          <w:b/>
          <w:bCs/>
          <w:sz w:val="32"/>
          <w:szCs w:val="32"/>
        </w:rPr>
        <w:t>（一）筛选</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rPr>
        <w:t>原则上报名人数与招聘计划数达</w:t>
      </w:r>
      <w:r>
        <w:rPr>
          <w:rFonts w:ascii="仿宋_GB2312" w:eastAsia="仿宋_GB2312"/>
          <w:sz w:val="32"/>
          <w:szCs w:val="32"/>
        </w:rPr>
        <w:t>2:1及以上的，方可开始组织招聘。报名人数较多的学科，根据招聘计划按不大于5:1的比例，经过综合比较</w:t>
      </w:r>
      <w:r>
        <w:rPr>
          <w:rFonts w:hint="eastAsia" w:ascii="仿宋_GB2312" w:eastAsia="仿宋_GB2312"/>
          <w:sz w:val="32"/>
          <w:szCs w:val="32"/>
        </w:rPr>
        <w:t>、</w:t>
      </w:r>
      <w:r>
        <w:rPr>
          <w:rFonts w:ascii="仿宋_GB2312" w:eastAsia="仿宋_GB2312"/>
          <w:sz w:val="32"/>
          <w:szCs w:val="32"/>
        </w:rPr>
        <w:t>择优</w:t>
      </w:r>
      <w:r>
        <w:rPr>
          <w:rFonts w:hint="eastAsia" w:ascii="仿宋_GB2312" w:eastAsia="仿宋_GB2312"/>
          <w:sz w:val="32"/>
          <w:szCs w:val="32"/>
        </w:rPr>
        <w:t>筛选，</w:t>
      </w:r>
      <w:r>
        <w:rPr>
          <w:rFonts w:ascii="仿宋_GB2312" w:eastAsia="仿宋_GB2312"/>
          <w:sz w:val="32"/>
          <w:szCs w:val="32"/>
        </w:rPr>
        <w:t>确定入围</w:t>
      </w:r>
      <w:r>
        <w:rPr>
          <w:rFonts w:hint="eastAsia" w:ascii="仿宋_GB2312" w:eastAsia="仿宋_GB2312"/>
          <w:sz w:val="32"/>
          <w:szCs w:val="32"/>
        </w:rPr>
        <w:t>测试考核人员名单</w:t>
      </w:r>
      <w:r>
        <w:rPr>
          <w:rFonts w:ascii="仿宋_GB2312"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ascii="仿宋_GB2312" w:eastAsia="仿宋_GB2312"/>
          <w:b/>
          <w:bCs/>
          <w:sz w:val="32"/>
          <w:szCs w:val="32"/>
        </w:rPr>
      </w:pPr>
      <w:r>
        <w:rPr>
          <w:rFonts w:hint="eastAsia" w:ascii="仿宋_GB2312" w:eastAsia="仿宋_GB2312"/>
          <w:b/>
          <w:bCs/>
          <w:sz w:val="32"/>
          <w:szCs w:val="32"/>
        </w:rPr>
        <w:t>（二）笔试和试讲</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rPr>
        <w:t>滨江高中的教师招聘，包含笔试和试讲两个环节，各</w:t>
      </w:r>
      <w:r>
        <w:rPr>
          <w:rFonts w:ascii="仿宋_GB2312" w:eastAsia="仿宋_GB2312"/>
          <w:sz w:val="32"/>
          <w:szCs w:val="32"/>
        </w:rPr>
        <w:t>100分。先进行笔试，根据笔试成绩从高到低，按不低于3：1的比例确定</w:t>
      </w:r>
      <w:r>
        <w:rPr>
          <w:rFonts w:hint="eastAsia" w:ascii="仿宋_GB2312" w:eastAsia="仿宋_GB2312"/>
          <w:sz w:val="32"/>
          <w:szCs w:val="32"/>
        </w:rPr>
        <w:t>入围</w:t>
      </w:r>
      <w:r>
        <w:rPr>
          <w:rFonts w:ascii="仿宋_GB2312" w:eastAsia="仿宋_GB2312"/>
          <w:sz w:val="32"/>
          <w:szCs w:val="32"/>
        </w:rPr>
        <w:t>试讲人员名单。如果</w:t>
      </w:r>
      <w:r>
        <w:rPr>
          <w:rFonts w:hint="eastAsia" w:ascii="仿宋_GB2312" w:eastAsia="仿宋_GB2312"/>
          <w:sz w:val="32"/>
          <w:szCs w:val="32"/>
        </w:rPr>
        <w:t>入围试讲环节最后一名考生出现笔试成绩同分情况，则全部进入试讲环节。</w:t>
      </w:r>
      <w:r>
        <w:rPr>
          <w:rFonts w:ascii="仿宋_GB2312" w:eastAsia="仿宋_GB2312"/>
          <w:sz w:val="32"/>
          <w:szCs w:val="32"/>
        </w:rPr>
        <w:t>具体方式如下：</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ascii="仿宋_GB2312" w:eastAsia="仿宋_GB2312"/>
          <w:sz w:val="32"/>
          <w:szCs w:val="32"/>
        </w:rPr>
        <w:t>1.笔试</w:t>
      </w:r>
      <w:r>
        <w:rPr>
          <w:rFonts w:hint="eastAsia" w:ascii="仿宋_GB2312" w:eastAsia="仿宋_GB2312"/>
          <w:sz w:val="32"/>
          <w:szCs w:val="32"/>
        </w:rPr>
        <w:t>（占</w:t>
      </w:r>
      <w:r>
        <w:rPr>
          <w:rFonts w:ascii="仿宋_GB2312" w:eastAsia="仿宋_GB2312"/>
          <w:sz w:val="32"/>
          <w:szCs w:val="32"/>
        </w:rPr>
        <w:t>50%</w:t>
      </w:r>
      <w:r>
        <w:rPr>
          <w:rFonts w:hint="eastAsia" w:ascii="仿宋_GB2312"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ascii="仿宋_GB2312" w:eastAsia="仿宋_GB2312"/>
          <w:sz w:val="32"/>
          <w:szCs w:val="32"/>
        </w:rPr>
        <w:t xml:space="preserve">笔试时间为60分钟，试题的难度相当于高考题。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ascii="仿宋_GB2312" w:eastAsia="仿宋_GB2312"/>
          <w:sz w:val="32"/>
          <w:szCs w:val="32"/>
        </w:rPr>
        <w:t>2.试讲</w:t>
      </w:r>
      <w:r>
        <w:rPr>
          <w:rFonts w:hint="eastAsia" w:ascii="仿宋_GB2312" w:eastAsia="仿宋_GB2312"/>
          <w:sz w:val="32"/>
          <w:szCs w:val="32"/>
        </w:rPr>
        <w:t>（占</w:t>
      </w:r>
      <w:r>
        <w:rPr>
          <w:rFonts w:ascii="仿宋_GB2312" w:eastAsia="仿宋_GB2312"/>
          <w:sz w:val="32"/>
          <w:szCs w:val="32"/>
        </w:rPr>
        <w:t>50%</w:t>
      </w:r>
      <w:r>
        <w:rPr>
          <w:rFonts w:hint="eastAsia" w:ascii="仿宋_GB2312"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ascii="仿宋_GB2312" w:eastAsia="仿宋_GB2312"/>
          <w:sz w:val="32"/>
          <w:szCs w:val="32"/>
        </w:rPr>
        <w:t>先备课60分钟，再模拟无学生状态下上课15分钟。试讲成绩低于及格分</w:t>
      </w:r>
      <w:r>
        <w:rPr>
          <w:rFonts w:hint="eastAsia" w:ascii="仿宋_GB2312" w:eastAsia="仿宋_GB2312"/>
          <w:sz w:val="32"/>
          <w:szCs w:val="32"/>
        </w:rPr>
        <w:t>（6</w:t>
      </w:r>
      <w:r>
        <w:rPr>
          <w:rFonts w:ascii="仿宋_GB2312" w:eastAsia="仿宋_GB2312"/>
          <w:sz w:val="32"/>
          <w:szCs w:val="32"/>
        </w:rPr>
        <w:t>0</w:t>
      </w:r>
      <w:r>
        <w:rPr>
          <w:rFonts w:hint="eastAsia" w:ascii="仿宋_GB2312" w:eastAsia="仿宋_GB2312"/>
          <w:sz w:val="32"/>
          <w:szCs w:val="32"/>
        </w:rPr>
        <w:t>分）</w:t>
      </w:r>
      <w:r>
        <w:rPr>
          <w:rFonts w:ascii="仿宋_GB2312" w:eastAsia="仿宋_GB2312"/>
          <w:sz w:val="32"/>
          <w:szCs w:val="32"/>
        </w:rPr>
        <w:t>的不予录取。</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ascii="仿宋_GB2312" w:eastAsia="仿宋_GB2312"/>
          <w:b/>
          <w:bCs/>
          <w:sz w:val="32"/>
          <w:szCs w:val="32"/>
        </w:rPr>
      </w:pPr>
      <w:r>
        <w:rPr>
          <w:rFonts w:hint="eastAsia" w:ascii="仿宋_GB2312" w:eastAsia="仿宋_GB2312"/>
          <w:b/>
          <w:bCs/>
          <w:sz w:val="32"/>
          <w:szCs w:val="32"/>
        </w:rPr>
        <w:t>（三）面试和技能测试</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rPr>
          <w:rFonts w:ascii="仿宋_GB2312" w:eastAsia="仿宋_GB2312"/>
          <w:sz w:val="32"/>
          <w:szCs w:val="32"/>
        </w:rPr>
      </w:pPr>
      <w:r>
        <w:rPr>
          <w:rFonts w:ascii="仿宋_GB2312" w:eastAsia="仿宋_GB2312"/>
          <w:sz w:val="32"/>
          <w:szCs w:val="32"/>
        </w:rPr>
        <w:t>除滨江</w:t>
      </w:r>
      <w:r>
        <w:rPr>
          <w:rFonts w:hint="eastAsia" w:ascii="仿宋_GB2312" w:eastAsia="仿宋_GB2312"/>
          <w:sz w:val="32"/>
          <w:szCs w:val="32"/>
        </w:rPr>
        <w:t>高中</w:t>
      </w:r>
      <w:r>
        <w:rPr>
          <w:rFonts w:ascii="仿宋_GB2312" w:eastAsia="仿宋_GB2312"/>
          <w:sz w:val="32"/>
          <w:szCs w:val="32"/>
        </w:rPr>
        <w:t>外，其他中小学</w:t>
      </w:r>
      <w:r>
        <w:rPr>
          <w:rFonts w:hint="eastAsia" w:ascii="仿宋_GB2312" w:eastAsia="仿宋_GB2312"/>
          <w:sz w:val="32"/>
          <w:szCs w:val="32"/>
        </w:rPr>
        <w:t>（幼儿园）</w:t>
      </w:r>
      <w:r>
        <w:rPr>
          <w:rFonts w:ascii="仿宋_GB2312" w:eastAsia="仿宋_GB2312"/>
          <w:sz w:val="32"/>
          <w:szCs w:val="32"/>
        </w:rPr>
        <w:t>教师招聘按筛选名单进行面试。面试</w:t>
      </w:r>
      <w:r>
        <w:rPr>
          <w:rFonts w:hint="eastAsia" w:ascii="仿宋_GB2312" w:eastAsia="仿宋_GB2312"/>
          <w:sz w:val="32"/>
          <w:szCs w:val="32"/>
        </w:rPr>
        <w:t>形式为结构化面试</w:t>
      </w:r>
      <w:r>
        <w:rPr>
          <w:rFonts w:ascii="仿宋_GB2312" w:eastAsia="仿宋_GB2312"/>
          <w:sz w:val="32"/>
          <w:szCs w:val="32"/>
        </w:rPr>
        <w:t>，由面试考官与考生通过相关问题的提问、答辩或互动，进一步了解学生专业水平、职业能力、口头表达、交际礼仪、性格特质、素质潜能等方面的表现</w:t>
      </w:r>
      <w:r>
        <w:rPr>
          <w:rFonts w:hint="eastAsia" w:ascii="仿宋_GB2312" w:eastAsia="仿宋_GB2312"/>
          <w:sz w:val="32"/>
          <w:szCs w:val="32"/>
        </w:rPr>
        <w:t>。面试满分为1</w:t>
      </w:r>
      <w:r>
        <w:rPr>
          <w:rFonts w:ascii="仿宋_GB2312" w:eastAsia="仿宋_GB2312"/>
          <w:sz w:val="32"/>
          <w:szCs w:val="32"/>
        </w:rPr>
        <w:t>00</w:t>
      </w:r>
      <w:r>
        <w:rPr>
          <w:rFonts w:hint="eastAsia" w:ascii="仿宋_GB2312" w:eastAsia="仿宋_GB2312"/>
          <w:sz w:val="32"/>
          <w:szCs w:val="32"/>
        </w:rPr>
        <w:t>分，</w:t>
      </w:r>
      <w:r>
        <w:rPr>
          <w:rFonts w:ascii="仿宋_GB2312" w:eastAsia="仿宋_GB2312"/>
          <w:sz w:val="32"/>
          <w:szCs w:val="32"/>
        </w:rPr>
        <w:t>面试成绩低于及格分</w:t>
      </w:r>
      <w:r>
        <w:rPr>
          <w:rFonts w:hint="eastAsia" w:ascii="仿宋_GB2312" w:eastAsia="仿宋_GB2312"/>
          <w:sz w:val="32"/>
          <w:szCs w:val="32"/>
        </w:rPr>
        <w:t>（6</w:t>
      </w:r>
      <w:r>
        <w:rPr>
          <w:rFonts w:ascii="仿宋_GB2312" w:eastAsia="仿宋_GB2312"/>
          <w:sz w:val="32"/>
          <w:szCs w:val="32"/>
        </w:rPr>
        <w:t>0</w:t>
      </w:r>
      <w:r>
        <w:rPr>
          <w:rFonts w:hint="eastAsia" w:ascii="仿宋_GB2312" w:eastAsia="仿宋_GB2312"/>
          <w:sz w:val="32"/>
          <w:szCs w:val="32"/>
        </w:rPr>
        <w:t>分）</w:t>
      </w:r>
      <w:r>
        <w:rPr>
          <w:rFonts w:ascii="仿宋_GB2312" w:eastAsia="仿宋_GB2312"/>
          <w:sz w:val="32"/>
          <w:szCs w:val="32"/>
        </w:rPr>
        <w:t>的不予录取。</w:t>
      </w:r>
      <w:r>
        <w:rPr>
          <w:rFonts w:hint="eastAsia" w:ascii="仿宋_GB2312" w:eastAsia="仿宋_GB2312"/>
          <w:sz w:val="32"/>
          <w:szCs w:val="32"/>
        </w:rPr>
        <w:t>幼教岗位</w:t>
      </w:r>
      <w:r>
        <w:rPr>
          <w:rFonts w:ascii="仿宋_GB2312" w:eastAsia="仿宋_GB2312"/>
          <w:sz w:val="32"/>
          <w:szCs w:val="32"/>
        </w:rPr>
        <w:t>在面试后</w:t>
      </w:r>
      <w:r>
        <w:rPr>
          <w:rFonts w:hint="eastAsia" w:ascii="仿宋_GB2312" w:eastAsia="仿宋_GB2312"/>
          <w:sz w:val="32"/>
          <w:szCs w:val="32"/>
        </w:rPr>
        <w:t>结束后还要</w:t>
      </w:r>
      <w:r>
        <w:rPr>
          <w:rFonts w:ascii="仿宋_GB2312" w:eastAsia="仿宋_GB2312"/>
          <w:sz w:val="32"/>
          <w:szCs w:val="32"/>
        </w:rPr>
        <w:t>进行技能测试</w:t>
      </w:r>
      <w:r>
        <w:rPr>
          <w:rFonts w:hint="eastAsia" w:ascii="仿宋_GB2312" w:eastAsia="仿宋_GB2312"/>
          <w:sz w:val="32"/>
          <w:szCs w:val="32"/>
        </w:rPr>
        <w:t>，考察考生幼儿教育基本技能（说、唱、弹、跳、画等方面）的掌握情况，技能测试满分为1</w:t>
      </w:r>
      <w:r>
        <w:rPr>
          <w:rFonts w:ascii="仿宋_GB2312" w:eastAsia="仿宋_GB2312"/>
          <w:sz w:val="32"/>
          <w:szCs w:val="32"/>
        </w:rPr>
        <w:t>00</w:t>
      </w:r>
      <w:r>
        <w:rPr>
          <w:rFonts w:hint="eastAsia" w:ascii="仿宋_GB2312" w:eastAsia="仿宋_GB2312"/>
          <w:sz w:val="32"/>
          <w:szCs w:val="32"/>
        </w:rPr>
        <w:t>分</w:t>
      </w:r>
      <w:r>
        <w:rPr>
          <w:rFonts w:ascii="仿宋_GB2312"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530" w:lineRule="exact"/>
        <w:ind w:firstLine="643" w:firstLineChars="200"/>
        <w:textAlignment w:val="auto"/>
        <w:rPr>
          <w:rFonts w:ascii="仿宋_GB2312" w:eastAsia="仿宋_GB2312"/>
          <w:b/>
          <w:bCs/>
          <w:sz w:val="32"/>
          <w:szCs w:val="32"/>
        </w:rPr>
      </w:pPr>
      <w:r>
        <w:rPr>
          <w:rFonts w:hint="eastAsia" w:ascii="仿宋_GB2312" w:eastAsia="仿宋_GB2312"/>
          <w:b/>
          <w:bCs/>
          <w:sz w:val="32"/>
          <w:szCs w:val="32"/>
        </w:rPr>
        <w:t>（四）拟录取</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rPr>
          <w:rFonts w:ascii="仿宋_GB2312" w:eastAsia="仿宋_GB2312"/>
          <w:sz w:val="32"/>
          <w:szCs w:val="32"/>
        </w:rPr>
      </w:pPr>
      <w:r>
        <w:rPr>
          <w:rFonts w:hint="eastAsia" w:ascii="仿宋_GB2312" w:eastAsia="仿宋_GB2312"/>
          <w:sz w:val="32"/>
          <w:szCs w:val="32"/>
        </w:rPr>
        <w:t>滨江高中的教师招聘按笔试和试讲成绩以</w:t>
      </w:r>
      <w:r>
        <w:rPr>
          <w:rFonts w:ascii="仿宋_GB2312" w:eastAsia="仿宋_GB2312"/>
          <w:sz w:val="32"/>
          <w:szCs w:val="32"/>
        </w:rPr>
        <w:t>1：1的比例合成总分，确定</w:t>
      </w:r>
      <w:r>
        <w:rPr>
          <w:rFonts w:hint="eastAsia" w:ascii="仿宋_GB2312" w:eastAsia="仿宋_GB2312"/>
          <w:sz w:val="32"/>
          <w:szCs w:val="32"/>
        </w:rPr>
        <w:t>拟录取名单</w:t>
      </w:r>
      <w:r>
        <w:rPr>
          <w:rFonts w:ascii="仿宋_GB2312" w:eastAsia="仿宋_GB2312"/>
          <w:sz w:val="32"/>
          <w:szCs w:val="32"/>
        </w:rPr>
        <w:t>;其他</w:t>
      </w:r>
      <w:r>
        <w:rPr>
          <w:rFonts w:hint="eastAsia" w:ascii="仿宋_GB2312" w:eastAsia="仿宋_GB2312"/>
          <w:sz w:val="32"/>
          <w:szCs w:val="32"/>
        </w:rPr>
        <w:t>岗位的</w:t>
      </w:r>
      <w:r>
        <w:rPr>
          <w:rFonts w:ascii="仿宋_GB2312" w:eastAsia="仿宋_GB2312"/>
          <w:sz w:val="32"/>
          <w:szCs w:val="32"/>
        </w:rPr>
        <w:t>教师招聘根据招聘计划</w:t>
      </w:r>
      <w:r>
        <w:rPr>
          <w:rFonts w:hint="eastAsia" w:ascii="仿宋_GB2312" w:eastAsia="仿宋_GB2312"/>
          <w:sz w:val="32"/>
          <w:szCs w:val="32"/>
        </w:rPr>
        <w:t>数</w:t>
      </w:r>
      <w:r>
        <w:rPr>
          <w:rFonts w:ascii="仿宋_GB2312" w:eastAsia="仿宋_GB2312"/>
          <w:sz w:val="32"/>
          <w:szCs w:val="32"/>
        </w:rPr>
        <w:t>，</w:t>
      </w:r>
      <w:r>
        <w:rPr>
          <w:rFonts w:hint="eastAsia" w:ascii="仿宋_GB2312" w:eastAsia="仿宋_GB2312"/>
          <w:sz w:val="32"/>
          <w:szCs w:val="32"/>
        </w:rPr>
        <w:t>按</w:t>
      </w:r>
      <w:r>
        <w:rPr>
          <w:rFonts w:ascii="仿宋_GB2312" w:eastAsia="仿宋_GB2312"/>
          <w:sz w:val="32"/>
          <w:szCs w:val="32"/>
        </w:rPr>
        <w:t>面试成绩从高到低确定</w:t>
      </w:r>
      <w:r>
        <w:rPr>
          <w:rFonts w:hint="eastAsia" w:ascii="仿宋_GB2312" w:eastAsia="仿宋_GB2312"/>
          <w:sz w:val="32"/>
          <w:szCs w:val="32"/>
        </w:rPr>
        <w:t>拟</w:t>
      </w:r>
      <w:r>
        <w:rPr>
          <w:rFonts w:ascii="仿宋_GB2312" w:eastAsia="仿宋_GB2312"/>
          <w:sz w:val="32"/>
          <w:szCs w:val="32"/>
        </w:rPr>
        <w:t>录取名单;有技能测试项目的，</w:t>
      </w:r>
      <w:r>
        <w:rPr>
          <w:rFonts w:hint="eastAsia" w:ascii="仿宋_GB2312" w:eastAsia="仿宋_GB2312"/>
          <w:sz w:val="32"/>
          <w:szCs w:val="32"/>
        </w:rPr>
        <w:t>按</w:t>
      </w:r>
      <w:r>
        <w:rPr>
          <w:rFonts w:ascii="仿宋_GB2312" w:eastAsia="仿宋_GB2312"/>
          <w:sz w:val="32"/>
          <w:szCs w:val="32"/>
        </w:rPr>
        <w:t>面试成绩</w:t>
      </w:r>
      <w:r>
        <w:rPr>
          <w:rFonts w:hint="eastAsia" w:ascii="仿宋_GB2312" w:eastAsia="仿宋_GB2312"/>
          <w:sz w:val="32"/>
          <w:szCs w:val="32"/>
          <w:lang w:eastAsia="zh-CN"/>
        </w:rPr>
        <w:t>和</w:t>
      </w:r>
      <w:r>
        <w:rPr>
          <w:rFonts w:ascii="仿宋_GB2312" w:eastAsia="仿宋_GB2312"/>
          <w:sz w:val="32"/>
          <w:szCs w:val="32"/>
        </w:rPr>
        <w:t>技能测成绩</w:t>
      </w:r>
      <w:r>
        <w:rPr>
          <w:rFonts w:hint="eastAsia" w:ascii="仿宋_GB2312" w:eastAsia="仿宋_GB2312"/>
          <w:sz w:val="32"/>
          <w:szCs w:val="32"/>
          <w:lang w:eastAsia="zh-CN"/>
        </w:rPr>
        <w:t>以</w:t>
      </w:r>
      <w:r>
        <w:rPr>
          <w:rFonts w:hint="eastAsia" w:ascii="仿宋_GB2312" w:eastAsia="仿宋_GB2312"/>
          <w:sz w:val="32"/>
          <w:szCs w:val="32"/>
          <w:lang w:val="en-US" w:eastAsia="zh-CN"/>
        </w:rPr>
        <w:t>1:1</w:t>
      </w:r>
      <w:r>
        <w:rPr>
          <w:rFonts w:ascii="仿宋_GB2312" w:eastAsia="仿宋_GB2312"/>
          <w:sz w:val="32"/>
          <w:szCs w:val="32"/>
        </w:rPr>
        <w:t>的比例合成总分，根据招聘计划</w:t>
      </w:r>
      <w:r>
        <w:rPr>
          <w:rFonts w:hint="eastAsia" w:ascii="仿宋_GB2312" w:eastAsia="仿宋_GB2312"/>
          <w:sz w:val="32"/>
          <w:szCs w:val="32"/>
        </w:rPr>
        <w:t>数按总分从高到底</w:t>
      </w:r>
      <w:r>
        <w:rPr>
          <w:rFonts w:ascii="仿宋_GB2312" w:eastAsia="仿宋_GB2312"/>
          <w:sz w:val="32"/>
          <w:szCs w:val="32"/>
        </w:rPr>
        <w:t>确定</w:t>
      </w:r>
      <w:r>
        <w:rPr>
          <w:rFonts w:hint="eastAsia" w:ascii="仿宋_GB2312" w:eastAsia="仿宋_GB2312"/>
          <w:sz w:val="32"/>
          <w:szCs w:val="32"/>
        </w:rPr>
        <w:t>拟</w:t>
      </w:r>
      <w:r>
        <w:rPr>
          <w:rFonts w:ascii="仿宋_GB2312" w:eastAsia="仿宋_GB2312"/>
          <w:sz w:val="32"/>
          <w:szCs w:val="32"/>
        </w:rPr>
        <w:t>录取名单。</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rPr>
          <w:rFonts w:ascii="仿宋_GB2312" w:eastAsia="仿宋_GB2312"/>
          <w:sz w:val="32"/>
          <w:szCs w:val="32"/>
        </w:rPr>
      </w:pPr>
      <w:r>
        <w:rPr>
          <w:rFonts w:hint="eastAsia" w:ascii="仿宋_GB2312" w:eastAsia="仿宋_GB2312"/>
          <w:sz w:val="32"/>
          <w:szCs w:val="32"/>
        </w:rPr>
        <w:t>若拟录取人员最后一名出现总分并列情况，按试讲成绩或技能测试成绩得分高者排名在前。</w:t>
      </w:r>
    </w:p>
    <w:p>
      <w:pPr>
        <w:keepNext w:val="0"/>
        <w:keepLines w:val="0"/>
        <w:pageBreakBefore w:val="0"/>
        <w:widowControl w:val="0"/>
        <w:kinsoku/>
        <w:wordWrap/>
        <w:overflowPunct/>
        <w:topLinePunct w:val="0"/>
        <w:autoSpaceDE/>
        <w:autoSpaceDN/>
        <w:bidi w:val="0"/>
        <w:adjustRightInd/>
        <w:snapToGrid/>
        <w:spacing w:line="530" w:lineRule="exact"/>
        <w:ind w:firstLine="643" w:firstLineChars="200"/>
        <w:textAlignment w:val="auto"/>
        <w:rPr>
          <w:rFonts w:ascii="仿宋_GB2312" w:eastAsia="仿宋_GB2312"/>
          <w:b/>
          <w:bCs/>
          <w:sz w:val="32"/>
          <w:szCs w:val="32"/>
        </w:rPr>
      </w:pPr>
      <w:r>
        <w:rPr>
          <w:rFonts w:hint="eastAsia" w:ascii="仿宋_GB2312" w:eastAsia="仿宋_GB2312"/>
          <w:b/>
          <w:bCs/>
          <w:sz w:val="32"/>
          <w:szCs w:val="32"/>
        </w:rPr>
        <w:t>（五）签约</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rPr>
          <w:rFonts w:ascii="仿宋_GB2312" w:eastAsia="仿宋_GB2312"/>
          <w:sz w:val="32"/>
          <w:szCs w:val="32"/>
        </w:rPr>
      </w:pPr>
      <w:r>
        <w:rPr>
          <w:rFonts w:hint="eastAsia" w:ascii="仿宋_GB2312" w:eastAsia="仿宋_GB2312"/>
          <w:sz w:val="32"/>
          <w:szCs w:val="32"/>
        </w:rPr>
        <w:t>拟录取人员须现场签约</w:t>
      </w:r>
      <w:r>
        <w:rPr>
          <w:rFonts w:hint="eastAsia" w:ascii="仿宋_GB2312" w:eastAsia="仿宋_GB2312"/>
          <w:sz w:val="32"/>
          <w:szCs w:val="32"/>
          <w:lang w:eastAsia="zh-CN"/>
        </w:rPr>
        <w:t>并缴纳诚信保证金（滨江高中为</w:t>
      </w:r>
      <w:r>
        <w:rPr>
          <w:rFonts w:hint="eastAsia" w:ascii="仿宋_GB2312" w:eastAsia="仿宋_GB2312"/>
          <w:sz w:val="32"/>
          <w:szCs w:val="32"/>
          <w:lang w:val="en-US" w:eastAsia="zh-CN"/>
        </w:rPr>
        <w:t>1万元，其他学校为5000元</w:t>
      </w:r>
      <w:r>
        <w:rPr>
          <w:rFonts w:hint="eastAsia" w:ascii="仿宋_GB2312" w:eastAsia="仿宋_GB2312"/>
          <w:sz w:val="32"/>
          <w:szCs w:val="32"/>
          <w:lang w:eastAsia="zh-CN"/>
        </w:rPr>
        <w:t>）</w:t>
      </w:r>
      <w:r>
        <w:rPr>
          <w:rFonts w:hint="eastAsia" w:ascii="仿宋_GB2312" w:eastAsia="仿宋_GB2312"/>
          <w:sz w:val="32"/>
          <w:szCs w:val="32"/>
        </w:rPr>
        <w:t>，考生须提前准备好《普通高等学校毕业生就业协议书》。</w:t>
      </w:r>
    </w:p>
    <w:p>
      <w:pPr>
        <w:keepNext w:val="0"/>
        <w:keepLines w:val="0"/>
        <w:pageBreakBefore w:val="0"/>
        <w:widowControl w:val="0"/>
        <w:kinsoku/>
        <w:wordWrap/>
        <w:overflowPunct/>
        <w:topLinePunct w:val="0"/>
        <w:autoSpaceDE/>
        <w:autoSpaceDN/>
        <w:bidi w:val="0"/>
        <w:adjustRightInd/>
        <w:snapToGrid/>
        <w:spacing w:line="530" w:lineRule="exact"/>
        <w:ind w:firstLine="643" w:firstLineChars="200"/>
        <w:textAlignment w:val="auto"/>
        <w:rPr>
          <w:rFonts w:ascii="仿宋_GB2312" w:eastAsia="仿宋_GB2312"/>
          <w:b/>
          <w:bCs/>
          <w:sz w:val="32"/>
          <w:szCs w:val="32"/>
        </w:rPr>
      </w:pPr>
      <w:r>
        <w:rPr>
          <w:rFonts w:hint="eastAsia" w:ascii="仿宋_GB2312" w:eastAsia="仿宋_GB2312"/>
          <w:b/>
          <w:bCs/>
          <w:sz w:val="32"/>
          <w:szCs w:val="32"/>
        </w:rPr>
        <w:t>（六）体检</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rPr>
          <w:rFonts w:ascii="仿宋_GB2312" w:eastAsia="仿宋_GB2312"/>
          <w:sz w:val="32"/>
          <w:szCs w:val="32"/>
        </w:rPr>
      </w:pPr>
      <w:r>
        <w:rPr>
          <w:rFonts w:hint="eastAsia" w:ascii="仿宋_GB2312" w:eastAsia="仿宋_GB2312"/>
          <w:sz w:val="32"/>
          <w:szCs w:val="32"/>
        </w:rPr>
        <w:t>拟录取人员的体检按人社部、国家卫计委、国家公务员局《关于修订〈公务员录用体检通用标准（试行）〉及〈公务员录用体检操作手册（试行）〉有关内容的通知》（人社部发〔</w:t>
      </w:r>
      <w:r>
        <w:rPr>
          <w:rFonts w:ascii="仿宋_GB2312" w:eastAsia="仿宋_GB2312"/>
          <w:sz w:val="32"/>
          <w:szCs w:val="32"/>
        </w:rPr>
        <w:t>2016〕140号）和《浙江省教师资格认定体检工作实施办法（试行）》执行。相同体检项目以标准高的为准。体检费及交通费</w:t>
      </w:r>
      <w:r>
        <w:rPr>
          <w:rFonts w:hint="eastAsia" w:ascii="仿宋_GB2312" w:eastAsia="仿宋_GB2312"/>
          <w:sz w:val="32"/>
          <w:szCs w:val="32"/>
        </w:rPr>
        <w:t>由</w:t>
      </w:r>
      <w:r>
        <w:rPr>
          <w:rFonts w:ascii="仿宋_GB2312" w:eastAsia="仿宋_GB2312"/>
          <w:sz w:val="32"/>
          <w:szCs w:val="32"/>
        </w:rPr>
        <w:t>拟录</w:t>
      </w:r>
      <w:r>
        <w:rPr>
          <w:rFonts w:hint="eastAsia" w:ascii="仿宋_GB2312" w:eastAsia="仿宋_GB2312"/>
          <w:sz w:val="32"/>
          <w:szCs w:val="32"/>
        </w:rPr>
        <w:t>取</w:t>
      </w:r>
      <w:r>
        <w:rPr>
          <w:rFonts w:ascii="仿宋_GB2312" w:eastAsia="仿宋_GB2312"/>
          <w:sz w:val="32"/>
          <w:szCs w:val="32"/>
        </w:rPr>
        <w:t>人员自理。</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rPr>
          <w:rFonts w:ascii="仿宋_GB2312" w:eastAsia="仿宋_GB2312"/>
          <w:sz w:val="32"/>
          <w:szCs w:val="32"/>
        </w:rPr>
      </w:pPr>
      <w:r>
        <w:rPr>
          <w:rFonts w:hint="eastAsia" w:ascii="仿宋_GB2312" w:eastAsia="仿宋_GB2312"/>
          <w:sz w:val="32"/>
          <w:szCs w:val="32"/>
        </w:rPr>
        <w:t>体检安排另行通知。拟录取人员不按规定时间、地点参加体检的，视作自动放弃。体检不合格的取消拟录取资格，相关岗位可依次递补。</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ascii="仿宋_GB2312" w:eastAsia="仿宋_GB2312"/>
          <w:b/>
          <w:bCs/>
          <w:sz w:val="32"/>
          <w:szCs w:val="32"/>
        </w:rPr>
      </w:pPr>
      <w:r>
        <w:rPr>
          <w:rFonts w:hint="eastAsia" w:ascii="仿宋_GB2312" w:eastAsia="仿宋_GB2312"/>
          <w:b/>
          <w:bCs/>
          <w:sz w:val="32"/>
          <w:szCs w:val="32"/>
        </w:rPr>
        <w:t>（七）考察</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rPr>
        <w:t>体检合格的拟录取人员列为考察对象，考察工作参照国家公务员局《关于做好公务员录用考察工作的通知》（国公局发</w:t>
      </w:r>
      <w:r>
        <w:rPr>
          <w:rFonts w:hint="eastAsia" w:ascii="微软雅黑" w:hAnsi="微软雅黑" w:eastAsia="微软雅黑" w:cs="微软雅黑"/>
          <w:sz w:val="32"/>
          <w:szCs w:val="32"/>
        </w:rPr>
        <w:t>﹝</w:t>
      </w:r>
      <w:r>
        <w:rPr>
          <w:rFonts w:ascii="仿宋_GB2312" w:eastAsia="仿宋_GB2312"/>
          <w:sz w:val="32"/>
          <w:szCs w:val="32"/>
        </w:rPr>
        <w:t>2013</w:t>
      </w:r>
      <w:r>
        <w:rPr>
          <w:rFonts w:hint="eastAsia" w:ascii="微软雅黑" w:hAnsi="微软雅黑" w:eastAsia="微软雅黑" w:cs="微软雅黑"/>
          <w:sz w:val="32"/>
          <w:szCs w:val="32"/>
        </w:rPr>
        <w:t>﹞</w:t>
      </w:r>
      <w:r>
        <w:rPr>
          <w:rFonts w:ascii="仿宋_GB2312" w:eastAsia="仿宋_GB2312"/>
          <w:sz w:val="32"/>
          <w:szCs w:val="32"/>
        </w:rPr>
        <w:t>2号）执行。</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rPr>
        <w:t>所有考察对象须在规定时间前将个人人事档案转到江山市教育局档案室，以备审核。具体时间另行通知。</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rPr>
        <w:t>自动放弃考察的、考察不合格的取消拟录取资格，相关岗位可依次递补。</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ascii="仿宋_GB2312" w:eastAsia="仿宋_GB2312"/>
          <w:b/>
          <w:bCs/>
          <w:sz w:val="32"/>
          <w:szCs w:val="32"/>
        </w:rPr>
      </w:pPr>
      <w:r>
        <w:rPr>
          <w:rFonts w:hint="eastAsia" w:ascii="仿宋_GB2312" w:eastAsia="仿宋_GB2312"/>
          <w:b/>
          <w:bCs/>
          <w:sz w:val="32"/>
          <w:szCs w:val="32"/>
        </w:rPr>
        <w:t>（八）公示和录用</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rPr>
        <w:t>考察合格的拟录取人员在江山市人民政府政务公开网上公示</w:t>
      </w:r>
      <w:r>
        <w:rPr>
          <w:rFonts w:ascii="仿宋_GB2312" w:eastAsia="仿宋_GB2312"/>
          <w:sz w:val="32"/>
          <w:szCs w:val="32"/>
        </w:rPr>
        <w:t>7个工作日，公示无异议的或所反映问题经查不影响聘用的，待工作岗位确定后按规定程序办理聘用手续。</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rPr>
        <w:t>新聘用教师首次签订聘用合同的江山市教育系统服务期限为</w:t>
      </w:r>
      <w:r>
        <w:rPr>
          <w:rFonts w:ascii="仿宋_GB2312" w:eastAsia="仿宋_GB2312"/>
          <w:sz w:val="32"/>
          <w:szCs w:val="32"/>
        </w:rPr>
        <w:t>5年，实行一年的见习期制度。未满5年服务期（含见习期）的不得申请调离江山市教育系统。见习期满考核不合格的，解除聘用合同。受聘教师服务期未满，未经有关部门批准同意擅自离职的，应承担相应的违约责任，具体违约责任在聘用合同中明确。</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ascii="仿宋_GB2312" w:eastAsia="仿宋_GB2312"/>
          <w:b/>
          <w:bCs/>
          <w:sz w:val="32"/>
          <w:szCs w:val="32"/>
        </w:rPr>
      </w:pPr>
      <w:r>
        <w:rPr>
          <w:rFonts w:hint="eastAsia" w:ascii="仿宋_GB2312" w:eastAsia="仿宋_GB2312"/>
          <w:b/>
          <w:bCs/>
          <w:sz w:val="32"/>
          <w:szCs w:val="32"/>
        </w:rPr>
        <w:t>（九）实习</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rPr>
        <w:t>所有拟录取人员须在</w:t>
      </w:r>
      <w:r>
        <w:rPr>
          <w:rFonts w:ascii="仿宋_GB2312" w:eastAsia="仿宋_GB2312"/>
          <w:sz w:val="32"/>
          <w:szCs w:val="32"/>
        </w:rPr>
        <w:t>2022年暑期结束前到江山市下属学校参加2-3个月的随班实习，实习时间和实习学校由江山市教育局统一安排。无故不参加实习的，取消拟</w:t>
      </w:r>
      <w:r>
        <w:rPr>
          <w:rFonts w:hint="eastAsia" w:ascii="仿宋_GB2312" w:eastAsia="仿宋_GB2312"/>
          <w:sz w:val="32"/>
          <w:szCs w:val="32"/>
        </w:rPr>
        <w:t>录取</w:t>
      </w:r>
      <w:r>
        <w:rPr>
          <w:rFonts w:ascii="仿宋_GB2312" w:eastAsia="仿宋_GB2312"/>
          <w:sz w:val="32"/>
          <w:szCs w:val="32"/>
        </w:rPr>
        <w:t>资格。</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ascii="仿宋_GB2312" w:eastAsia="仿宋_GB2312"/>
          <w:b/>
          <w:bCs/>
          <w:sz w:val="32"/>
          <w:szCs w:val="32"/>
        </w:rPr>
      </w:pPr>
      <w:r>
        <w:rPr>
          <w:rFonts w:hint="eastAsia" w:ascii="仿宋_GB2312" w:eastAsia="仿宋_GB2312"/>
          <w:b/>
          <w:bCs/>
          <w:sz w:val="32"/>
          <w:szCs w:val="32"/>
        </w:rPr>
        <w:t>（十）资格复审</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rPr>
        <w:t>江山市教育局在</w:t>
      </w:r>
      <w:r>
        <w:rPr>
          <w:rFonts w:ascii="仿宋_GB2312" w:eastAsia="仿宋_GB2312"/>
          <w:sz w:val="32"/>
          <w:szCs w:val="32"/>
        </w:rPr>
        <w:t>2022年暑期期间对涉及到拟</w:t>
      </w:r>
      <w:r>
        <w:rPr>
          <w:rFonts w:hint="eastAsia" w:ascii="仿宋_GB2312" w:eastAsia="仿宋_GB2312"/>
          <w:sz w:val="32"/>
          <w:szCs w:val="32"/>
        </w:rPr>
        <w:t>录取</w:t>
      </w:r>
      <w:r>
        <w:rPr>
          <w:rFonts w:ascii="仿宋_GB2312" w:eastAsia="仿宋_GB2312"/>
          <w:sz w:val="32"/>
          <w:szCs w:val="32"/>
        </w:rPr>
        <w:t>人员报名资格的各类证件、证书、证明进行资格复审，资格复审未通过则取消拟录用资格。</w:t>
      </w:r>
      <w:r>
        <w:rPr>
          <w:rFonts w:hint="eastAsia" w:ascii="仿宋_GB2312" w:eastAsia="仿宋_GB2312"/>
          <w:sz w:val="32"/>
          <w:szCs w:val="32"/>
        </w:rPr>
        <w:t>资格复审安排另行通知。</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ascii="仿宋_GB2312" w:eastAsia="仿宋_GB2312"/>
          <w:b/>
          <w:bCs/>
          <w:sz w:val="32"/>
          <w:szCs w:val="32"/>
        </w:rPr>
      </w:pPr>
      <w:r>
        <w:rPr>
          <w:rFonts w:hint="eastAsia" w:ascii="仿宋_GB2312" w:eastAsia="仿宋_GB2312"/>
          <w:b/>
          <w:bCs/>
          <w:sz w:val="32"/>
          <w:szCs w:val="32"/>
        </w:rPr>
        <w:t>（十一）新教师培训</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rPr>
        <w:t>要求拟录取人员于</w:t>
      </w:r>
      <w:r>
        <w:rPr>
          <w:rFonts w:ascii="仿宋_GB2312" w:eastAsia="仿宋_GB2312"/>
          <w:sz w:val="32"/>
          <w:szCs w:val="32"/>
        </w:rPr>
        <w:t>2022年8月上旬左右到江山市参加新教师</w:t>
      </w:r>
      <w:r>
        <w:rPr>
          <w:rFonts w:hint="eastAsia" w:ascii="仿宋_GB2312" w:eastAsia="仿宋_GB2312"/>
          <w:sz w:val="32"/>
          <w:szCs w:val="32"/>
        </w:rPr>
        <w:t>岗前集中</w:t>
      </w:r>
      <w:r>
        <w:rPr>
          <w:rFonts w:ascii="仿宋_GB2312" w:eastAsia="仿宋_GB2312"/>
          <w:sz w:val="32"/>
          <w:szCs w:val="32"/>
        </w:rPr>
        <w:t>培训</w:t>
      </w:r>
      <w:r>
        <w:rPr>
          <w:rFonts w:hint="eastAsia" w:ascii="仿宋_GB2312" w:eastAsia="仿宋_GB2312"/>
          <w:sz w:val="32"/>
          <w:szCs w:val="32"/>
        </w:rPr>
        <w:t>，</w:t>
      </w:r>
      <w:r>
        <w:rPr>
          <w:rFonts w:ascii="仿宋_GB2312" w:eastAsia="仿宋_GB2312"/>
          <w:sz w:val="32"/>
          <w:szCs w:val="32"/>
        </w:rPr>
        <w:t>具体培训安排届时在江山市人民政府政务公开网中</w:t>
      </w:r>
      <w:r>
        <w:rPr>
          <w:rFonts w:hint="eastAsia" w:ascii="仿宋_GB2312" w:eastAsia="仿宋_GB2312"/>
          <w:sz w:val="32"/>
          <w:szCs w:val="32"/>
        </w:rPr>
        <w:t>发布。</w:t>
      </w:r>
      <w:r>
        <w:rPr>
          <w:rFonts w:ascii="仿宋_GB2312" w:eastAsia="仿宋_GB2312"/>
          <w:sz w:val="32"/>
          <w:szCs w:val="32"/>
        </w:rPr>
        <w:t>未按时报到的，取消</w:t>
      </w:r>
      <w:r>
        <w:rPr>
          <w:rFonts w:hint="eastAsia" w:ascii="仿宋_GB2312" w:eastAsia="仿宋_GB2312"/>
          <w:sz w:val="32"/>
          <w:szCs w:val="32"/>
        </w:rPr>
        <w:t>拟录取</w:t>
      </w:r>
      <w:r>
        <w:rPr>
          <w:rFonts w:ascii="仿宋_GB2312" w:eastAsia="仿宋_GB2312"/>
          <w:sz w:val="32"/>
          <w:szCs w:val="32"/>
        </w:rPr>
        <w:t>资格。</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sz w:val="32"/>
          <w:szCs w:val="32"/>
        </w:rPr>
      </w:pPr>
      <w:r>
        <w:rPr>
          <w:rFonts w:hint="eastAsia" w:ascii="黑体" w:hAnsi="黑体" w:eastAsia="黑体"/>
          <w:sz w:val="32"/>
          <w:szCs w:val="32"/>
        </w:rPr>
        <w:t>五、主要待遇</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rPr>
        <w:t>（一）正式聘用后为全额拨款事业编制人员</w:t>
      </w:r>
      <w:r>
        <w:rPr>
          <w:rFonts w:ascii="仿宋_GB2312" w:eastAsia="仿宋_GB2312"/>
          <w:sz w:val="32"/>
          <w:szCs w:val="32"/>
        </w:rPr>
        <w:t>,享受住房公积金、事业单位养老保险、职业年金、医疗保险、免费疗休养、免费体检等待遇。</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rPr>
        <w:t>（二）为非江山籍教师提供城区过渡性居住用房。</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rPr>
        <w:t>（三）按下列标准实施购房补助：</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ascii="仿宋_GB2312" w:eastAsia="仿宋_GB2312"/>
          <w:sz w:val="32"/>
          <w:szCs w:val="32"/>
        </w:rPr>
        <w:t>1.浙江省一级普通高中特色示范学校应届考上一段线高校本科毕业生，按10平方米给予补助；</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ascii="仿宋_GB2312" w:eastAsia="仿宋_GB2312"/>
          <w:sz w:val="32"/>
          <w:szCs w:val="32"/>
        </w:rPr>
        <w:t>2.985、211、“双一流”普通高校本科毕业生按15平方米给予补助；</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ascii="仿宋_GB2312" w:eastAsia="仿宋_GB2312"/>
          <w:sz w:val="32"/>
          <w:szCs w:val="32"/>
        </w:rPr>
        <w:t>3.硕士研究生按20平方米给予补助，若硕士研究生毕业的高校为985、211、“双一流”高校，则购房补助标准上浮50%。</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rPr>
        <w:t>享受购房补助的人才，服务期至少十年，自取得不动产权证或不动产登记证明后，服务满十年的，所购房屋可以自由上市交易。自取得不动产权证或不动产登记证明之日起服务江山不满五年的，须按补助面积折价退回；服务江山五年至十年上市交易的，不足年限按补助面积折价差额退回。退回的购房补助以人才停止服务江山时间所在上年度房管部门统计的市区新建商品住宅均价折算，根据实际在江服务月数按比例计算。</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ascii="仿宋_GB2312" w:eastAsia="仿宋_GB2312"/>
          <w:b/>
          <w:bCs/>
          <w:sz w:val="32"/>
          <w:szCs w:val="32"/>
        </w:rPr>
      </w:pPr>
      <w:r>
        <w:rPr>
          <w:rFonts w:hint="eastAsia" w:ascii="仿宋_GB2312" w:eastAsia="仿宋_GB2312"/>
          <w:b/>
          <w:bCs/>
          <w:sz w:val="32"/>
          <w:szCs w:val="32"/>
        </w:rPr>
        <w:t>六、有下列情况之一，取消聘用资格或解除聘用合同</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ascii="仿宋_GB2312" w:eastAsia="仿宋_GB2312"/>
          <w:sz w:val="32"/>
          <w:szCs w:val="32"/>
        </w:rPr>
        <w:t>1.弄虚作假，提供虚假材料或不符合招聘资格条件的；</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ascii="仿宋_GB2312" w:eastAsia="仿宋_GB2312"/>
          <w:sz w:val="32"/>
          <w:szCs w:val="32"/>
        </w:rPr>
        <w:t>2.体检不合格的；</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ascii="仿宋_GB2312" w:eastAsia="仿宋_GB2312"/>
          <w:sz w:val="32"/>
          <w:szCs w:val="32"/>
        </w:rPr>
        <w:t>3.聘用人员不服</w:t>
      </w:r>
      <w:r>
        <w:rPr>
          <w:rFonts w:hint="eastAsia" w:ascii="仿宋_GB2312" w:eastAsia="仿宋_GB2312"/>
          <w:sz w:val="32"/>
          <w:szCs w:val="32"/>
          <w:lang w:eastAsia="zh-CN"/>
        </w:rPr>
        <w:t>从</w:t>
      </w:r>
      <w:r>
        <w:rPr>
          <w:rFonts w:hint="eastAsia" w:ascii="仿宋_GB2312" w:eastAsia="仿宋_GB2312"/>
          <w:sz w:val="32"/>
          <w:szCs w:val="32"/>
        </w:rPr>
        <w:t>江山市教育局工作岗位</w:t>
      </w:r>
      <w:r>
        <w:rPr>
          <w:rFonts w:ascii="仿宋_GB2312" w:eastAsia="仿宋_GB2312"/>
          <w:sz w:val="32"/>
          <w:szCs w:val="32"/>
        </w:rPr>
        <w:t>分配或逾期不报到的；</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ascii="仿宋_GB2312" w:eastAsia="仿宋_GB2312"/>
          <w:sz w:val="32"/>
          <w:szCs w:val="32"/>
        </w:rPr>
        <w:t>4.不能按时取得</w:t>
      </w:r>
      <w:r>
        <w:rPr>
          <w:rFonts w:hint="eastAsia" w:ascii="仿宋_GB2312" w:eastAsia="仿宋_GB2312"/>
          <w:sz w:val="32"/>
          <w:szCs w:val="32"/>
        </w:rPr>
        <w:t>学历</w:t>
      </w:r>
      <w:r>
        <w:rPr>
          <w:rFonts w:ascii="仿宋_GB2312" w:eastAsia="仿宋_GB2312"/>
          <w:sz w:val="32"/>
          <w:szCs w:val="32"/>
        </w:rPr>
        <w:t>证书、教师资格证书等的；</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ascii="仿宋_GB2312" w:eastAsia="仿宋_GB2312"/>
          <w:sz w:val="32"/>
          <w:szCs w:val="32"/>
        </w:rPr>
        <w:t>5.其他不符合聘用要求的。</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ascii="仿宋_GB2312" w:eastAsia="仿宋_GB2312"/>
          <w:b/>
          <w:bCs/>
          <w:sz w:val="32"/>
          <w:szCs w:val="32"/>
        </w:rPr>
      </w:pPr>
      <w:r>
        <w:rPr>
          <w:rFonts w:hint="eastAsia" w:ascii="仿宋_GB2312" w:eastAsia="仿宋_GB2312"/>
          <w:b/>
          <w:bCs/>
          <w:sz w:val="32"/>
          <w:szCs w:val="32"/>
        </w:rPr>
        <w:t>七、其它事项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本次</w:t>
      </w:r>
      <w:r>
        <w:rPr>
          <w:rFonts w:ascii="仿宋_GB2312" w:eastAsia="仿宋_GB2312"/>
          <w:sz w:val="32"/>
          <w:szCs w:val="32"/>
        </w:rPr>
        <w:t>招聘计划若有缺额的，可在</w:t>
      </w:r>
      <w:r>
        <w:rPr>
          <w:rFonts w:hint="eastAsia" w:ascii="仿宋_GB2312" w:eastAsia="仿宋_GB2312"/>
          <w:sz w:val="32"/>
          <w:szCs w:val="32"/>
        </w:rPr>
        <w:t>其他</w:t>
      </w:r>
      <w:r>
        <w:rPr>
          <w:rFonts w:ascii="仿宋_GB2312" w:eastAsia="仿宋_GB2312"/>
          <w:sz w:val="32"/>
          <w:szCs w:val="32"/>
        </w:rPr>
        <w:t>提前批次</w:t>
      </w:r>
      <w:r>
        <w:rPr>
          <w:rFonts w:hint="eastAsia" w:ascii="仿宋_GB2312" w:eastAsia="仿宋_GB2312"/>
          <w:sz w:val="32"/>
          <w:szCs w:val="32"/>
        </w:rPr>
        <w:t>教师招聘</w:t>
      </w:r>
      <w:r>
        <w:rPr>
          <w:rFonts w:ascii="仿宋_GB2312" w:eastAsia="仿宋_GB2312"/>
          <w:sz w:val="32"/>
          <w:szCs w:val="32"/>
        </w:rPr>
        <w:t>中</w:t>
      </w:r>
      <w:r>
        <w:rPr>
          <w:rFonts w:hint="eastAsia" w:ascii="仿宋_GB2312" w:eastAsia="仿宋_GB2312"/>
          <w:sz w:val="32"/>
          <w:szCs w:val="32"/>
        </w:rPr>
        <w:t>进行</w:t>
      </w:r>
      <w:r>
        <w:rPr>
          <w:rFonts w:ascii="仿宋_GB2312" w:eastAsia="仿宋_GB2312"/>
          <w:sz w:val="32"/>
          <w:szCs w:val="32"/>
        </w:rPr>
        <w:t>补录。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ascii="仿宋_GB2312" w:eastAsia="仿宋_GB2312"/>
          <w:sz w:val="32"/>
          <w:szCs w:val="32"/>
        </w:rPr>
        <w:t>2.报考者在招聘中提供虚假信息、虚假材料或在考试中有作弊等违纪违规行为的，按《浙江省人事考试应试人员违纪违规行为处理规定》处理。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ascii="仿宋_GB2312" w:eastAsia="仿宋_GB2312"/>
          <w:sz w:val="32"/>
          <w:szCs w:val="32"/>
        </w:rPr>
        <w:t>3.江山市教育局、江山市人力资源和社会保障局不举办也不委托任何机构举办相应的辅导培训班。社会上如出现针对本次公开招聘教师的辅导培训班、辅导网站、复习资料、出版物、上网卡等，均与江山市教育局、江山市人力资源和社会保障局无关。</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提前批新教师</w:t>
      </w:r>
      <w:r>
        <w:rPr>
          <w:rFonts w:ascii="仿宋_GB2312" w:eastAsia="仿宋_GB2312"/>
          <w:sz w:val="32"/>
          <w:szCs w:val="32"/>
        </w:rPr>
        <w:t>招聘由江山市纪委监委派驻市教育局纪检监察组负责监督，监督举报电话：0570-4072502。</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5</w:t>
      </w:r>
      <w:r>
        <w:rPr>
          <w:rFonts w:ascii="仿宋_GB2312" w:eastAsia="仿宋_GB2312"/>
          <w:sz w:val="32"/>
          <w:szCs w:val="32"/>
        </w:rPr>
        <w:t>.</w:t>
      </w:r>
      <w:r>
        <w:rPr>
          <w:rFonts w:hint="eastAsia" w:ascii="仿宋_GB2312" w:eastAsia="仿宋_GB2312"/>
          <w:sz w:val="32"/>
          <w:szCs w:val="32"/>
        </w:rPr>
        <w:t>其他招聘场次根据工作安排和各师范院校招聘会安排结合疫情防控形势另行确定通知，详情请关注江山市人民政府政务公开网“公告公示”栏和“江山教育”微信公众号。</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ascii="仿宋_GB2312" w:eastAsia="仿宋_GB2312"/>
          <w:sz w:val="32"/>
          <w:szCs w:val="32"/>
        </w:rPr>
        <w:t>6.</w:t>
      </w:r>
      <w:r>
        <w:rPr>
          <w:rFonts w:hint="eastAsia" w:ascii="仿宋_GB2312" w:eastAsia="仿宋_GB2312"/>
          <w:sz w:val="32"/>
          <w:szCs w:val="32"/>
        </w:rPr>
        <w:t>提前批新教师招聘</w:t>
      </w:r>
      <w:r>
        <w:rPr>
          <w:rFonts w:ascii="仿宋_GB2312" w:eastAsia="仿宋_GB2312"/>
          <w:sz w:val="32"/>
          <w:szCs w:val="32"/>
        </w:rPr>
        <w:t>有关事宜由江山市教育局、江山市人力资源和社会保障局负责解释，未尽事宜由江山市教育局、江山市人力资源和社会保障局研究决定。</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rPr>
        <w:t>江山市人民政府政务公开网网址：</w:t>
      </w:r>
      <w:r>
        <w:rPr>
          <w:rFonts w:ascii="仿宋_GB2312" w:eastAsia="仿宋_GB2312"/>
          <w:sz w:val="32"/>
          <w:szCs w:val="32"/>
        </w:rPr>
        <w:t>http://www.jiangshan.gov.cn/</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rPr>
        <w:t>招聘咨询电话：</w:t>
      </w:r>
      <w:r>
        <w:rPr>
          <w:rFonts w:ascii="仿宋_GB2312" w:eastAsia="仿宋_GB2312"/>
          <w:sz w:val="32"/>
          <w:szCs w:val="32"/>
        </w:rPr>
        <w:t>0570-4071617。</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rPr>
        <w:t>招聘咨询地址：江山市礼贤路</w:t>
      </w:r>
      <w:r>
        <w:rPr>
          <w:rFonts w:ascii="仿宋_GB2312" w:eastAsia="仿宋_GB2312"/>
          <w:sz w:val="32"/>
          <w:szCs w:val="32"/>
        </w:rPr>
        <w:t>304号江山市教育局二楼209室组织人事科</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rPr>
        <w:t>附件：1</w:t>
      </w:r>
      <w:r>
        <w:rPr>
          <w:rFonts w:ascii="仿宋_GB2312" w:eastAsia="仿宋_GB2312"/>
          <w:sz w:val="32"/>
          <w:szCs w:val="32"/>
        </w:rPr>
        <w:t>.</w:t>
      </w:r>
      <w:r>
        <w:rPr>
          <w:rFonts w:hint="eastAsia" w:ascii="仿宋_GB2312" w:eastAsia="仿宋_GB2312"/>
          <w:sz w:val="32"/>
          <w:szCs w:val="32"/>
        </w:rPr>
        <w:t>江山市2</w:t>
      </w:r>
      <w:r>
        <w:rPr>
          <w:rFonts w:ascii="仿宋_GB2312" w:eastAsia="仿宋_GB2312"/>
          <w:sz w:val="32"/>
          <w:szCs w:val="32"/>
        </w:rPr>
        <w:t>022</w:t>
      </w:r>
      <w:r>
        <w:rPr>
          <w:rFonts w:hint="eastAsia" w:ascii="仿宋_GB2312" w:eastAsia="仿宋_GB2312"/>
          <w:sz w:val="32"/>
          <w:szCs w:val="32"/>
        </w:rPr>
        <w:t>年提前批新教师招聘报名表</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rPr>
        <w:t xml:space="preserve"> </w:t>
      </w:r>
      <w:r>
        <w:rPr>
          <w:rFonts w:ascii="仿宋_GB2312" w:eastAsia="仿宋_GB2312"/>
          <w:sz w:val="32"/>
          <w:szCs w:val="32"/>
        </w:rPr>
        <w:t xml:space="preserve">     2.</w:t>
      </w:r>
      <w:r>
        <w:rPr>
          <w:rFonts w:hint="eastAsia" w:ascii="仿宋_GB2312" w:eastAsia="仿宋_GB2312"/>
          <w:sz w:val="32"/>
          <w:szCs w:val="32"/>
        </w:rPr>
        <w:t>报名材料清单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rPr>
        <w:t xml:space="preserve"> </w:t>
      </w:r>
      <w:r>
        <w:rPr>
          <w:rFonts w:ascii="仿宋_GB2312" w:eastAsia="仿宋_GB2312"/>
          <w:sz w:val="32"/>
          <w:szCs w:val="32"/>
        </w:rPr>
        <w:t xml:space="preserve">     3.</w:t>
      </w:r>
      <w:r>
        <w:rPr>
          <w:rFonts w:hint="eastAsia" w:ascii="仿宋_GB2312" w:eastAsia="仿宋_GB2312"/>
          <w:sz w:val="32"/>
          <w:szCs w:val="32"/>
        </w:rPr>
        <w:t>应届生证明（模板）</w:t>
      </w:r>
    </w:p>
    <w:p>
      <w:pPr>
        <w:keepNext w:val="0"/>
        <w:keepLines w:val="0"/>
        <w:pageBreakBefore w:val="0"/>
        <w:widowControl w:val="0"/>
        <w:kinsoku/>
        <w:wordWrap/>
        <w:overflowPunct/>
        <w:topLinePunct w:val="0"/>
        <w:autoSpaceDE/>
        <w:autoSpaceDN/>
        <w:bidi w:val="0"/>
        <w:adjustRightInd/>
        <w:snapToGrid/>
        <w:spacing w:line="540" w:lineRule="exact"/>
        <w:ind w:firstLine="1600" w:firstLineChars="500"/>
        <w:textAlignment w:val="auto"/>
        <w:rPr>
          <w:rFonts w:ascii="仿宋_GB2312" w:eastAsia="仿宋_GB2312"/>
          <w:sz w:val="32"/>
          <w:szCs w:val="32"/>
        </w:rPr>
      </w:pPr>
      <w:r>
        <w:rPr>
          <w:rFonts w:hint="eastAsia" w:ascii="仿宋_GB2312" w:eastAsia="仿宋_GB2312"/>
          <w:sz w:val="32"/>
          <w:szCs w:val="32"/>
        </w:rPr>
        <w:t>4</w:t>
      </w:r>
      <w:r>
        <w:rPr>
          <w:rFonts w:ascii="仿宋_GB2312" w:eastAsia="仿宋_GB2312"/>
          <w:sz w:val="32"/>
          <w:szCs w:val="32"/>
        </w:rPr>
        <w:t>.</w:t>
      </w:r>
      <w:r>
        <w:rPr>
          <w:rFonts w:hint="eastAsia" w:ascii="仿宋_GB2312" w:eastAsia="仿宋_GB2312"/>
          <w:sz w:val="32"/>
          <w:szCs w:val="32"/>
        </w:rPr>
        <w:t>杭师大招聘会个人信息登记表二维码</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 xml:space="preserve"> </w:t>
      </w:r>
      <w:r>
        <w:rPr>
          <w:rFonts w:ascii="仿宋_GB2312" w:eastAsia="仿宋_GB2312"/>
          <w:sz w:val="32"/>
          <w:szCs w:val="32"/>
        </w:rPr>
        <w:t xml:space="preserve">  </w:t>
      </w:r>
    </w:p>
    <w:p>
      <w:pPr>
        <w:spacing w:line="560" w:lineRule="exact"/>
        <w:ind w:firstLine="640" w:firstLineChars="200"/>
        <w:rPr>
          <w:rFonts w:ascii="仿宋_GB2312" w:eastAsia="仿宋_GB2312"/>
          <w:sz w:val="32"/>
          <w:szCs w:val="32"/>
        </w:rPr>
      </w:pPr>
      <w:r>
        <w:rPr>
          <w:rFonts w:hint="eastAsia" w:ascii="仿宋_GB2312" w:eastAsia="仿宋_GB2312"/>
          <w:sz w:val="32"/>
          <w:szCs w:val="32"/>
          <w:lang w:eastAsia="zh-CN"/>
        </w:rPr>
        <w:drawing>
          <wp:anchor distT="0" distB="0" distL="114300" distR="114300" simplePos="0" relativeHeight="251660288" behindDoc="0" locked="0" layoutInCell="1" allowOverlap="1">
            <wp:simplePos x="0" y="0"/>
            <wp:positionH relativeFrom="column">
              <wp:posOffset>-139065</wp:posOffset>
            </wp:positionH>
            <wp:positionV relativeFrom="paragraph">
              <wp:posOffset>144780</wp:posOffset>
            </wp:positionV>
            <wp:extent cx="1428750" cy="1428750"/>
            <wp:effectExtent l="0" t="0" r="0" b="0"/>
            <wp:wrapNone/>
            <wp:docPr id="3" name="图片 3" descr="qrco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qrcode (4)"/>
                    <pic:cNvPicPr>
                      <a:picLocks noChangeAspect="1"/>
                    </pic:cNvPicPr>
                  </pic:nvPicPr>
                  <pic:blipFill>
                    <a:blip r:embed="rId5"/>
                    <a:stretch>
                      <a:fillRect/>
                    </a:stretch>
                  </pic:blipFill>
                  <pic:spPr>
                    <a:xfrm>
                      <a:off x="0" y="0"/>
                      <a:ext cx="1428750" cy="1428750"/>
                    </a:xfrm>
                    <a:prstGeom prst="rect">
                      <a:avLst/>
                    </a:prstGeom>
                  </pic:spPr>
                </pic:pic>
              </a:graphicData>
            </a:graphic>
          </wp:anchor>
        </w:drawing>
      </w:r>
    </w:p>
    <w:p>
      <w:pPr>
        <w:spacing w:line="560" w:lineRule="exact"/>
        <w:ind w:firstLine="640" w:firstLineChars="200"/>
        <w:jc w:val="right"/>
        <w:rPr>
          <w:rFonts w:ascii="仿宋_GB2312" w:eastAsia="仿宋_GB2312"/>
          <w:sz w:val="32"/>
          <w:szCs w:val="32"/>
        </w:rPr>
      </w:pPr>
      <w:r>
        <w:rPr>
          <w:rFonts w:hint="eastAsia" w:ascii="仿宋_GB2312" w:eastAsia="仿宋_GB2312"/>
          <w:sz w:val="32"/>
          <w:szCs w:val="32"/>
          <w:lang w:eastAsia="zh-CN"/>
        </w:rPr>
        <w:tab/>
      </w:r>
      <w:r>
        <w:rPr>
          <w:rFonts w:hint="eastAsia" w:ascii="仿宋_GB2312" w:eastAsia="仿宋_GB2312"/>
          <w:sz w:val="32"/>
          <w:szCs w:val="32"/>
        </w:rPr>
        <w:t>江山市教育局</w:t>
      </w:r>
    </w:p>
    <w:p>
      <w:pPr>
        <w:spacing w:line="560" w:lineRule="exact"/>
        <w:ind w:firstLine="640" w:firstLineChars="200"/>
        <w:jc w:val="right"/>
        <w:rPr>
          <w:rFonts w:ascii="仿宋_GB2312" w:eastAsia="仿宋_GB2312"/>
          <w:sz w:val="32"/>
          <w:szCs w:val="32"/>
        </w:rPr>
      </w:pPr>
      <w:r>
        <w:rPr>
          <w:rFonts w:hint="eastAsia" w:ascii="仿宋_GB2312" w:eastAsia="仿宋_GB2312"/>
          <w:sz w:val="32"/>
          <w:szCs w:val="32"/>
        </w:rPr>
        <w:t>江山市人力资源和社会保障局</w:t>
      </w:r>
    </w:p>
    <w:p>
      <w:pPr>
        <w:spacing w:line="560" w:lineRule="exact"/>
        <w:ind w:firstLine="640" w:firstLineChars="200"/>
        <w:jc w:val="right"/>
        <w:rPr>
          <w:rFonts w:ascii="仿宋_GB2312" w:eastAsia="仿宋_GB2312"/>
          <w:sz w:val="32"/>
          <w:szCs w:val="32"/>
        </w:rPr>
      </w:pPr>
      <w:r>
        <w:rPr>
          <w:rFonts w:hint="eastAsia" w:ascii="仿宋_GB2312" w:eastAsia="仿宋_GB2312"/>
          <w:sz w:val="32"/>
          <w:szCs w:val="32"/>
        </w:rPr>
        <w:t>2</w:t>
      </w:r>
      <w:r>
        <w:rPr>
          <w:rFonts w:ascii="仿宋_GB2312" w:eastAsia="仿宋_GB2312"/>
          <w:sz w:val="32"/>
          <w:szCs w:val="32"/>
        </w:rPr>
        <w:t>021</w:t>
      </w:r>
      <w:r>
        <w:rPr>
          <w:rFonts w:hint="eastAsia" w:ascii="仿宋_GB2312" w:eastAsia="仿宋_GB2312"/>
          <w:sz w:val="32"/>
          <w:szCs w:val="32"/>
        </w:rPr>
        <w:t>年</w:t>
      </w:r>
      <w:r>
        <w:rPr>
          <w:rFonts w:ascii="仿宋_GB2312" w:eastAsia="仿宋_GB2312"/>
          <w:sz w:val="32"/>
          <w:szCs w:val="32"/>
        </w:rPr>
        <w:t>11</w:t>
      </w:r>
      <w:r>
        <w:rPr>
          <w:rFonts w:hint="eastAsia" w:ascii="仿宋_GB2312" w:eastAsia="仿宋_GB2312"/>
          <w:sz w:val="32"/>
          <w:szCs w:val="32"/>
        </w:rPr>
        <w:t>月</w:t>
      </w:r>
      <w:r>
        <w:rPr>
          <w:rFonts w:ascii="仿宋_GB2312" w:eastAsia="仿宋_GB2312"/>
          <w:sz w:val="32"/>
          <w:szCs w:val="32"/>
        </w:rPr>
        <w:t>1</w:t>
      </w:r>
      <w:r>
        <w:rPr>
          <w:rFonts w:hint="eastAsia" w:ascii="仿宋_GB2312" w:eastAsia="仿宋_GB2312"/>
          <w:sz w:val="32"/>
          <w:szCs w:val="32"/>
        </w:rPr>
        <w:t>日</w:t>
      </w:r>
    </w:p>
    <w:p>
      <w:pPr>
        <w:rPr>
          <w:rFonts w:hint="eastAsia" w:ascii="黑体" w:hAnsi="黑体" w:eastAsia="黑体"/>
          <w:color w:val="000000" w:themeColor="text1"/>
          <w:sz w:val="32"/>
          <w:szCs w:val="32"/>
          <w14:textFill>
            <w14:solidFill>
              <w14:schemeClr w14:val="tx1"/>
            </w14:solidFill>
          </w14:textFill>
        </w:rPr>
      </w:pPr>
    </w:p>
    <w:p>
      <w:pPr>
        <w:rPr>
          <w:rFonts w:hint="eastAsia" w:ascii="黑体" w:hAnsi="黑体" w:eastAsia="黑体"/>
          <w:color w:val="000000" w:themeColor="text1"/>
          <w:sz w:val="32"/>
          <w:szCs w:val="32"/>
          <w14:textFill>
            <w14:solidFill>
              <w14:schemeClr w14:val="tx1"/>
            </w14:solidFill>
          </w14:textFill>
        </w:rPr>
      </w:pPr>
    </w:p>
    <w:p>
      <w:pPr>
        <w:rPr>
          <w:rFonts w:hint="eastAsia" w:ascii="黑体" w:hAnsi="黑体" w:eastAsia="黑体"/>
          <w:color w:val="000000" w:themeColor="text1"/>
          <w:sz w:val="32"/>
          <w:szCs w:val="32"/>
          <w14:textFill>
            <w14:solidFill>
              <w14:schemeClr w14:val="tx1"/>
            </w14:solidFill>
          </w14:textFill>
        </w:rPr>
      </w:pPr>
    </w:p>
    <w:p>
      <w:pPr>
        <w:rPr>
          <w:rFonts w:ascii="仿宋_GB2312" w:eastAsia="仿宋_GB2312"/>
          <w:sz w:val="32"/>
          <w:szCs w:val="32"/>
        </w:rPr>
      </w:pP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hideGrammatical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5B48"/>
    <w:rsid w:val="00017301"/>
    <w:rsid w:val="000770C4"/>
    <w:rsid w:val="00081FD5"/>
    <w:rsid w:val="000E718A"/>
    <w:rsid w:val="00153B85"/>
    <w:rsid w:val="0016592A"/>
    <w:rsid w:val="001829D9"/>
    <w:rsid w:val="001E6703"/>
    <w:rsid w:val="00202937"/>
    <w:rsid w:val="00232545"/>
    <w:rsid w:val="00264793"/>
    <w:rsid w:val="002764D4"/>
    <w:rsid w:val="002911F4"/>
    <w:rsid w:val="002F1088"/>
    <w:rsid w:val="0032168E"/>
    <w:rsid w:val="0032521C"/>
    <w:rsid w:val="003601C1"/>
    <w:rsid w:val="00385CBA"/>
    <w:rsid w:val="003B3439"/>
    <w:rsid w:val="003C6723"/>
    <w:rsid w:val="0056576B"/>
    <w:rsid w:val="0056594E"/>
    <w:rsid w:val="005900C8"/>
    <w:rsid w:val="006214A7"/>
    <w:rsid w:val="00687294"/>
    <w:rsid w:val="00737AEE"/>
    <w:rsid w:val="00755958"/>
    <w:rsid w:val="00767EE3"/>
    <w:rsid w:val="00877151"/>
    <w:rsid w:val="008E3081"/>
    <w:rsid w:val="00907F46"/>
    <w:rsid w:val="009A16E5"/>
    <w:rsid w:val="009C1BA0"/>
    <w:rsid w:val="00A40FB5"/>
    <w:rsid w:val="00A91E0A"/>
    <w:rsid w:val="00A97786"/>
    <w:rsid w:val="00B42C21"/>
    <w:rsid w:val="00B47FA2"/>
    <w:rsid w:val="00B64981"/>
    <w:rsid w:val="00BA5EBC"/>
    <w:rsid w:val="00BB1B53"/>
    <w:rsid w:val="00BC3CFB"/>
    <w:rsid w:val="00C427BC"/>
    <w:rsid w:val="00C6190F"/>
    <w:rsid w:val="00C84C8F"/>
    <w:rsid w:val="00CB784D"/>
    <w:rsid w:val="00D10984"/>
    <w:rsid w:val="00D11E34"/>
    <w:rsid w:val="00D76A9E"/>
    <w:rsid w:val="00DA5042"/>
    <w:rsid w:val="00DD5B48"/>
    <w:rsid w:val="00E17AC7"/>
    <w:rsid w:val="00E33B61"/>
    <w:rsid w:val="00EE4473"/>
    <w:rsid w:val="00EF2F28"/>
    <w:rsid w:val="00EF4487"/>
    <w:rsid w:val="00F30E82"/>
    <w:rsid w:val="00F739D3"/>
    <w:rsid w:val="00F9516C"/>
    <w:rsid w:val="00FE2A7D"/>
    <w:rsid w:val="04EE09E4"/>
    <w:rsid w:val="0F3B7898"/>
    <w:rsid w:val="164E68CC"/>
    <w:rsid w:val="19F77848"/>
    <w:rsid w:val="1AC348C4"/>
    <w:rsid w:val="21D25866"/>
    <w:rsid w:val="25CB419F"/>
    <w:rsid w:val="25DD3CAC"/>
    <w:rsid w:val="262366BC"/>
    <w:rsid w:val="274628A5"/>
    <w:rsid w:val="311D6489"/>
    <w:rsid w:val="33661F0C"/>
    <w:rsid w:val="367E384C"/>
    <w:rsid w:val="438430F1"/>
    <w:rsid w:val="440E62A1"/>
    <w:rsid w:val="443B0471"/>
    <w:rsid w:val="49AE0176"/>
    <w:rsid w:val="49CE2E3A"/>
    <w:rsid w:val="4BF93C6A"/>
    <w:rsid w:val="50553F96"/>
    <w:rsid w:val="50AB1F25"/>
    <w:rsid w:val="54CB5A68"/>
    <w:rsid w:val="577B09DE"/>
    <w:rsid w:val="5FAC354B"/>
    <w:rsid w:val="60762199"/>
    <w:rsid w:val="62680E70"/>
    <w:rsid w:val="65B16AD8"/>
    <w:rsid w:val="6FAA62CB"/>
    <w:rsid w:val="7287700C"/>
    <w:rsid w:val="73F61FDA"/>
    <w:rsid w:val="79F62311"/>
    <w:rsid w:val="7F384D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3"/>
    <w:semiHidden/>
    <w:unhideWhenUsed/>
    <w:qFormat/>
    <w:uiPriority w:val="99"/>
    <w:pPr>
      <w:jc w:val="left"/>
    </w:pPr>
  </w:style>
  <w:style w:type="paragraph" w:styleId="3">
    <w:name w:val="Date"/>
    <w:basedOn w:val="1"/>
    <w:next w:val="1"/>
    <w:link w:val="17"/>
    <w:semiHidden/>
    <w:unhideWhenUsed/>
    <w:qFormat/>
    <w:uiPriority w:val="99"/>
    <w:pPr>
      <w:ind w:left="100" w:leftChars="2500"/>
    </w:pPr>
  </w:style>
  <w:style w:type="paragraph" w:styleId="4">
    <w:name w:val="Balloon Text"/>
    <w:basedOn w:val="1"/>
    <w:link w:val="15"/>
    <w:semiHidden/>
    <w:unhideWhenUsed/>
    <w:qFormat/>
    <w:uiPriority w:val="99"/>
    <w:rPr>
      <w:sz w:val="18"/>
      <w:szCs w:val="18"/>
    </w:rPr>
  </w:style>
  <w:style w:type="paragraph" w:styleId="5">
    <w:name w:val="footer"/>
    <w:basedOn w:val="1"/>
    <w:semiHidden/>
    <w:unhideWhenUsed/>
    <w:qFormat/>
    <w:uiPriority w:val="99"/>
    <w:pPr>
      <w:tabs>
        <w:tab w:val="center" w:pos="4153"/>
        <w:tab w:val="right" w:pos="8306"/>
      </w:tabs>
      <w:snapToGrid w:val="0"/>
      <w:jc w:val="left"/>
    </w:pPr>
    <w:rPr>
      <w:sz w:val="18"/>
    </w:rPr>
  </w:style>
  <w:style w:type="paragraph" w:styleId="6">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annotation subject"/>
    <w:basedOn w:val="2"/>
    <w:next w:val="2"/>
    <w:link w:val="14"/>
    <w:semiHidden/>
    <w:unhideWhenUsed/>
    <w:qFormat/>
    <w:uiPriority w:val="99"/>
    <w:rPr>
      <w:b/>
      <w:bCs/>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Emphasis"/>
    <w:basedOn w:val="10"/>
    <w:qFormat/>
    <w:uiPriority w:val="20"/>
    <w:rPr>
      <w:i/>
      <w:iCs/>
    </w:rPr>
  </w:style>
  <w:style w:type="character" w:styleId="12">
    <w:name w:val="annotation reference"/>
    <w:basedOn w:val="10"/>
    <w:semiHidden/>
    <w:unhideWhenUsed/>
    <w:qFormat/>
    <w:uiPriority w:val="99"/>
    <w:rPr>
      <w:sz w:val="21"/>
      <w:szCs w:val="21"/>
    </w:rPr>
  </w:style>
  <w:style w:type="character" w:customStyle="1" w:styleId="13">
    <w:name w:val="批注文字 字符"/>
    <w:basedOn w:val="10"/>
    <w:link w:val="2"/>
    <w:semiHidden/>
    <w:qFormat/>
    <w:uiPriority w:val="99"/>
  </w:style>
  <w:style w:type="character" w:customStyle="1" w:styleId="14">
    <w:name w:val="批注主题 字符"/>
    <w:basedOn w:val="13"/>
    <w:link w:val="7"/>
    <w:semiHidden/>
    <w:qFormat/>
    <w:uiPriority w:val="99"/>
    <w:rPr>
      <w:b/>
      <w:bCs/>
    </w:rPr>
  </w:style>
  <w:style w:type="character" w:customStyle="1" w:styleId="15">
    <w:name w:val="批注框文本 字符"/>
    <w:basedOn w:val="10"/>
    <w:link w:val="4"/>
    <w:semiHidden/>
    <w:qFormat/>
    <w:uiPriority w:val="99"/>
    <w:rPr>
      <w:sz w:val="18"/>
      <w:szCs w:val="18"/>
    </w:rPr>
  </w:style>
  <w:style w:type="character" w:customStyle="1" w:styleId="16">
    <w:name w:val="不明显强调1"/>
    <w:basedOn w:val="10"/>
    <w:qFormat/>
    <w:uiPriority w:val="19"/>
    <w:rPr>
      <w:i/>
      <w:iCs/>
      <w:color w:val="404040" w:themeColor="text1" w:themeTint="BF"/>
      <w14:textFill>
        <w14:solidFill>
          <w14:schemeClr w14:val="tx1">
            <w14:lumMod w14:val="75000"/>
            <w14:lumOff w14:val="25000"/>
          </w14:schemeClr>
        </w14:solidFill>
      </w14:textFill>
    </w:rPr>
  </w:style>
  <w:style w:type="character" w:customStyle="1" w:styleId="17">
    <w:name w:val="日期 字符"/>
    <w:basedOn w:val="10"/>
    <w:link w:val="3"/>
    <w:semiHidden/>
    <w:qFormat/>
    <w:uiPriority w:val="99"/>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851</Words>
  <Characters>4856</Characters>
  <Lines>40</Lines>
  <Paragraphs>11</Paragraphs>
  <TotalTime>130</TotalTime>
  <ScaleCrop>false</ScaleCrop>
  <LinksUpToDate>false</LinksUpToDate>
  <CharactersWithSpaces>5696</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2021-10-28T16:07:00Z</dcterms:created>
  <dc:creator>DEEP</dc:creator>
  <cp:lastModifiedBy>iverson</cp:lastModifiedBy>
  <cp:lastPrinted>2021-11-01T01:18:00Z</cp:lastPrinted>
  <dcterms:modified xsi:type="dcterms:W3CDTF">2021-11-01T09:09:57Z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y fmtid="{D5CDD505-2E9C-101B-9397-08002B2CF9AE}" pid="3" name="ICV">
    <vt:lpwstr>D9225C32EBBE496495FD507221B3DDC4</vt:lpwstr>
  </property>
</Properties>
</file>