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附件4：</w:t>
      </w:r>
    </w:p>
    <w:p>
      <w:pPr>
        <w:jc w:val="center"/>
        <w:rPr>
          <w:rFonts w:eastAsia="方正小标宋简体"/>
          <w:sz w:val="38"/>
          <w:szCs w:val="38"/>
        </w:rPr>
      </w:pPr>
      <w:r>
        <w:rPr>
          <w:rFonts w:eastAsia="方正小标宋简体"/>
          <w:sz w:val="38"/>
          <w:szCs w:val="38"/>
        </w:rPr>
        <w:t>赤壁市农村教师进城选调奖励加分表（试行）</w:t>
      </w:r>
    </w:p>
    <w:tbl>
      <w:tblPr>
        <w:tblStyle w:val="3"/>
        <w:tblW w:w="85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774"/>
        <w:gridCol w:w="2286"/>
        <w:gridCol w:w="180"/>
        <w:gridCol w:w="1818"/>
        <w:gridCol w:w="1422"/>
        <w:gridCol w:w="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加分项目</w:t>
            </w:r>
          </w:p>
        </w:tc>
        <w:tc>
          <w:tcPr>
            <w:tcW w:w="3240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内容和年限</w:t>
            </w:r>
          </w:p>
        </w:tc>
        <w:tc>
          <w:tcPr>
            <w:tcW w:w="3240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计分标准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6" w:hRule="atLeast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政治荣誉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（10分）</w:t>
            </w:r>
          </w:p>
        </w:tc>
        <w:tc>
          <w:tcPr>
            <w:tcW w:w="3240" w:type="dxa"/>
            <w:gridSpan w:val="3"/>
            <w:noWrap w:val="0"/>
            <w:vAlign w:val="center"/>
          </w:tcPr>
          <w:p>
            <w:pPr>
              <w:ind w:firstLine="480" w:firstLineChars="2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历年获得的政治荣誉称号，包括师德标兵、优秀教师、先进工作者、优秀共产党员、优秀共青团员、三八红旗手等。</w:t>
            </w:r>
          </w:p>
        </w:tc>
        <w:tc>
          <w:tcPr>
            <w:tcW w:w="3240" w:type="dxa"/>
            <w:gridSpan w:val="2"/>
            <w:noWrap w:val="0"/>
            <w:vAlign w:val="center"/>
          </w:tcPr>
          <w:p>
            <w:pPr>
              <w:ind w:firstLine="480" w:firstLineChars="2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按授奖单位取最高级别计分。国家、省、市、县、镇党政表彰分别计10、8、6、4、2分；部门表彰降一级计分。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8" w:hRule="atLeast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业务荣誉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（10分）</w:t>
            </w:r>
          </w:p>
        </w:tc>
        <w:tc>
          <w:tcPr>
            <w:tcW w:w="3240" w:type="dxa"/>
            <w:gridSpan w:val="3"/>
            <w:noWrap w:val="0"/>
            <w:vAlign w:val="center"/>
          </w:tcPr>
          <w:p>
            <w:pPr>
              <w:ind w:firstLine="480" w:firstLineChars="2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历年获得政府和教育主管部门表彰的的业务荣誉称号：</w:t>
            </w:r>
          </w:p>
          <w:p>
            <w:pPr>
              <w:ind w:firstLine="480" w:firstLineChars="2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第一类：名师、学科带头人、骨干教师、优秀学科教师等；</w:t>
            </w:r>
          </w:p>
          <w:p>
            <w:pPr>
              <w:ind w:firstLine="480" w:firstLineChars="2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第二类：教学能手、教坛新秀、常规教学和教研教改先进个人、优秀班主任、教育主管部门发文的名师工作室成员。</w:t>
            </w:r>
          </w:p>
        </w:tc>
        <w:tc>
          <w:tcPr>
            <w:tcW w:w="3240" w:type="dxa"/>
            <w:gridSpan w:val="2"/>
            <w:noWrap w:val="0"/>
            <w:vAlign w:val="center"/>
          </w:tcPr>
          <w:p>
            <w:pPr>
              <w:ind w:firstLine="480" w:firstLineChars="2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按授奖单位取最高级别计分。</w:t>
            </w:r>
          </w:p>
          <w:tbl>
            <w:tblPr>
              <w:tblStyle w:val="3"/>
              <w:tblW w:w="5000" w:type="pct"/>
              <w:tblInd w:w="1" w:type="dxa"/>
              <w:tblBorders>
                <w:top w:val="single" w:color="auto" w:sz="2" w:space="0"/>
                <w:left w:val="single" w:color="auto" w:sz="2" w:space="0"/>
                <w:bottom w:val="single" w:color="auto" w:sz="2" w:space="0"/>
                <w:right w:val="single" w:color="auto" w:sz="2" w:space="0"/>
                <w:insideH w:val="single" w:color="auto" w:sz="6" w:space="0"/>
                <w:insideV w:val="single" w:color="auto" w:sz="6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752"/>
              <w:gridCol w:w="1133"/>
              <w:gridCol w:w="1134"/>
            </w:tblGrid>
            <w:tr>
              <w:tblPrEx>
                <w:tblBorders>
                  <w:top w:val="single" w:color="auto" w:sz="2" w:space="0"/>
                  <w:left w:val="single" w:color="auto" w:sz="2" w:space="0"/>
                  <w:bottom w:val="single" w:color="auto" w:sz="2" w:space="0"/>
                  <w:right w:val="single" w:color="auto" w:sz="2" w:space="0"/>
                  <w:insideH w:val="single" w:color="auto" w:sz="6" w:space="0"/>
                  <w:insideV w:val="single" w:color="auto" w:sz="6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246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eastAsia="仿宋_GB2312"/>
                      <w:sz w:val="24"/>
                    </w:rPr>
                  </w:pPr>
                  <w:r>
                    <w:rPr>
                      <w:rFonts w:eastAsia="仿宋_GB2312"/>
                      <w:sz w:val="24"/>
                    </w:rPr>
                    <w:t>类别</w:t>
                  </w:r>
                </w:p>
              </w:tc>
              <w:tc>
                <w:tcPr>
                  <w:tcW w:w="1877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eastAsia="仿宋_GB2312"/>
                      <w:sz w:val="24"/>
                    </w:rPr>
                  </w:pPr>
                  <w:r>
                    <w:rPr>
                      <w:rFonts w:eastAsia="仿宋_GB2312"/>
                      <w:sz w:val="24"/>
                    </w:rPr>
                    <w:t>第一类</w:t>
                  </w:r>
                </w:p>
              </w:tc>
              <w:tc>
                <w:tcPr>
                  <w:tcW w:w="1877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eastAsia="仿宋_GB2312"/>
                      <w:sz w:val="24"/>
                    </w:rPr>
                  </w:pPr>
                  <w:r>
                    <w:rPr>
                      <w:rFonts w:eastAsia="仿宋_GB2312"/>
                      <w:sz w:val="24"/>
                    </w:rPr>
                    <w:t>第二类</w:t>
                  </w:r>
                </w:p>
              </w:tc>
            </w:tr>
            <w:tr>
              <w:tblPrEx>
                <w:tblBorders>
                  <w:top w:val="single" w:color="auto" w:sz="2" w:space="0"/>
                  <w:left w:val="single" w:color="auto" w:sz="2" w:space="0"/>
                  <w:bottom w:val="single" w:color="auto" w:sz="2" w:space="0"/>
                  <w:right w:val="single" w:color="auto" w:sz="2" w:space="0"/>
                  <w:insideH w:val="single" w:color="auto" w:sz="6" w:space="0"/>
                  <w:insideV w:val="single" w:color="auto" w:sz="6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246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eastAsia="仿宋_GB2312"/>
                      <w:sz w:val="24"/>
                    </w:rPr>
                  </w:pPr>
                  <w:r>
                    <w:rPr>
                      <w:rFonts w:eastAsia="仿宋_GB2312"/>
                      <w:sz w:val="24"/>
                    </w:rPr>
                    <w:t>国家</w:t>
                  </w:r>
                </w:p>
              </w:tc>
              <w:tc>
                <w:tcPr>
                  <w:tcW w:w="1877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eastAsia="仿宋_GB2312"/>
                      <w:sz w:val="24"/>
                    </w:rPr>
                  </w:pPr>
                  <w:r>
                    <w:rPr>
                      <w:rFonts w:eastAsia="仿宋_GB2312"/>
                      <w:sz w:val="24"/>
                    </w:rPr>
                    <w:t>10</w:t>
                  </w:r>
                </w:p>
              </w:tc>
              <w:tc>
                <w:tcPr>
                  <w:tcW w:w="1877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eastAsia="仿宋_GB2312"/>
                      <w:sz w:val="24"/>
                    </w:rPr>
                  </w:pPr>
                  <w:r>
                    <w:rPr>
                      <w:rFonts w:eastAsia="仿宋_GB2312"/>
                      <w:sz w:val="24"/>
                    </w:rPr>
                    <w:t>8</w:t>
                  </w:r>
                </w:p>
              </w:tc>
            </w:tr>
            <w:tr>
              <w:tblPrEx>
                <w:tblBorders>
                  <w:top w:val="single" w:color="auto" w:sz="2" w:space="0"/>
                  <w:left w:val="single" w:color="auto" w:sz="2" w:space="0"/>
                  <w:bottom w:val="single" w:color="auto" w:sz="2" w:space="0"/>
                  <w:right w:val="single" w:color="auto" w:sz="2" w:space="0"/>
                  <w:insideH w:val="single" w:color="auto" w:sz="6" w:space="0"/>
                  <w:insideV w:val="single" w:color="auto" w:sz="6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246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eastAsia="仿宋_GB2312"/>
                      <w:sz w:val="24"/>
                    </w:rPr>
                  </w:pPr>
                  <w:r>
                    <w:rPr>
                      <w:rFonts w:eastAsia="仿宋_GB2312"/>
                      <w:sz w:val="24"/>
                    </w:rPr>
                    <w:t>省</w:t>
                  </w:r>
                </w:p>
              </w:tc>
              <w:tc>
                <w:tcPr>
                  <w:tcW w:w="1877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eastAsia="仿宋_GB2312"/>
                      <w:sz w:val="24"/>
                    </w:rPr>
                  </w:pPr>
                  <w:r>
                    <w:rPr>
                      <w:rFonts w:eastAsia="仿宋_GB2312"/>
                      <w:sz w:val="24"/>
                    </w:rPr>
                    <w:t>8</w:t>
                  </w:r>
                </w:p>
              </w:tc>
              <w:tc>
                <w:tcPr>
                  <w:tcW w:w="1877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eastAsia="仿宋_GB2312"/>
                      <w:sz w:val="24"/>
                    </w:rPr>
                  </w:pPr>
                  <w:r>
                    <w:rPr>
                      <w:rFonts w:eastAsia="仿宋_GB2312"/>
                      <w:sz w:val="24"/>
                    </w:rPr>
                    <w:t>6</w:t>
                  </w:r>
                </w:p>
              </w:tc>
            </w:tr>
            <w:tr>
              <w:tblPrEx>
                <w:tblBorders>
                  <w:top w:val="single" w:color="auto" w:sz="2" w:space="0"/>
                  <w:left w:val="single" w:color="auto" w:sz="2" w:space="0"/>
                  <w:bottom w:val="single" w:color="auto" w:sz="2" w:space="0"/>
                  <w:right w:val="single" w:color="auto" w:sz="2" w:space="0"/>
                  <w:insideH w:val="single" w:color="auto" w:sz="6" w:space="0"/>
                  <w:insideV w:val="single" w:color="auto" w:sz="6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246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eastAsia="仿宋_GB2312"/>
                      <w:sz w:val="24"/>
                    </w:rPr>
                  </w:pPr>
                  <w:r>
                    <w:rPr>
                      <w:rFonts w:eastAsia="仿宋_GB2312"/>
                      <w:sz w:val="24"/>
                    </w:rPr>
                    <w:t>市</w:t>
                  </w:r>
                </w:p>
              </w:tc>
              <w:tc>
                <w:tcPr>
                  <w:tcW w:w="1877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eastAsia="仿宋_GB2312"/>
                      <w:sz w:val="24"/>
                    </w:rPr>
                  </w:pPr>
                  <w:r>
                    <w:rPr>
                      <w:rFonts w:eastAsia="仿宋_GB2312"/>
                      <w:sz w:val="24"/>
                    </w:rPr>
                    <w:t>6</w:t>
                  </w:r>
                </w:p>
              </w:tc>
              <w:tc>
                <w:tcPr>
                  <w:tcW w:w="1877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eastAsia="仿宋_GB2312"/>
                      <w:sz w:val="24"/>
                    </w:rPr>
                  </w:pPr>
                  <w:r>
                    <w:rPr>
                      <w:rFonts w:eastAsia="仿宋_GB2312"/>
                      <w:sz w:val="24"/>
                    </w:rPr>
                    <w:t>4</w:t>
                  </w:r>
                </w:p>
              </w:tc>
            </w:tr>
            <w:tr>
              <w:tblPrEx>
                <w:tblBorders>
                  <w:top w:val="single" w:color="auto" w:sz="2" w:space="0"/>
                  <w:left w:val="single" w:color="auto" w:sz="2" w:space="0"/>
                  <w:bottom w:val="single" w:color="auto" w:sz="2" w:space="0"/>
                  <w:right w:val="single" w:color="auto" w:sz="2" w:space="0"/>
                  <w:insideH w:val="single" w:color="auto" w:sz="6" w:space="0"/>
                  <w:insideV w:val="single" w:color="auto" w:sz="6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246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eastAsia="仿宋_GB2312"/>
                      <w:sz w:val="24"/>
                    </w:rPr>
                  </w:pPr>
                  <w:r>
                    <w:rPr>
                      <w:rFonts w:eastAsia="仿宋_GB2312"/>
                      <w:sz w:val="24"/>
                    </w:rPr>
                    <w:t>县</w:t>
                  </w:r>
                </w:p>
              </w:tc>
              <w:tc>
                <w:tcPr>
                  <w:tcW w:w="1877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eastAsia="仿宋_GB2312"/>
                      <w:sz w:val="24"/>
                    </w:rPr>
                  </w:pPr>
                  <w:r>
                    <w:rPr>
                      <w:rFonts w:eastAsia="仿宋_GB2312"/>
                      <w:sz w:val="24"/>
                    </w:rPr>
                    <w:t>4</w:t>
                  </w:r>
                </w:p>
              </w:tc>
              <w:tc>
                <w:tcPr>
                  <w:tcW w:w="1877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eastAsia="仿宋_GB2312"/>
                      <w:sz w:val="24"/>
                    </w:rPr>
                  </w:pPr>
                  <w:r>
                    <w:rPr>
                      <w:rFonts w:eastAsia="仿宋_GB2312"/>
                      <w:sz w:val="24"/>
                    </w:rPr>
                    <w:t>2</w:t>
                  </w:r>
                </w:p>
              </w:tc>
            </w:tr>
          </w:tbl>
          <w:p>
            <w:pPr>
              <w:ind w:firstLine="480" w:firstLineChars="200"/>
              <w:rPr>
                <w:rFonts w:eastAsia="仿宋_GB2312"/>
                <w:sz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0" w:hRule="atLeast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优课竞赛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（20分）</w:t>
            </w:r>
          </w:p>
        </w:tc>
        <w:tc>
          <w:tcPr>
            <w:tcW w:w="3240" w:type="dxa"/>
            <w:gridSpan w:val="3"/>
            <w:noWrap w:val="0"/>
            <w:vAlign w:val="center"/>
          </w:tcPr>
          <w:p>
            <w:pPr>
              <w:ind w:firstLine="480" w:firstLineChars="2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历年参加由教育行政主管部门举办的各类优质课竞赛活动获奖。</w:t>
            </w:r>
          </w:p>
          <w:p>
            <w:pPr>
              <w:ind w:firstLine="480" w:firstLineChars="2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历年参加由教育行政主管部门举办的教学基本功比赛活动获奖，包括“一师一优课”、视频参赛课、说课、微课、课件制作、实验操作等。</w:t>
            </w:r>
          </w:p>
          <w:p>
            <w:pPr>
              <w:ind w:firstLine="480" w:firstLineChars="2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由民间学术团体与教育部门共同组织的上述各种竞赛活动，只认定其中的教育部门。</w:t>
            </w:r>
          </w:p>
        </w:tc>
        <w:tc>
          <w:tcPr>
            <w:tcW w:w="3240" w:type="dxa"/>
            <w:gridSpan w:val="2"/>
            <w:noWrap w:val="0"/>
            <w:vAlign w:val="center"/>
          </w:tcPr>
          <w:p>
            <w:pPr>
              <w:ind w:firstLine="480" w:firstLineChars="2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按所获奖次累计计分，至该项满分为止。每次优质课竞赛获奖按下列等次计分： </w:t>
            </w:r>
          </w:p>
          <w:tbl>
            <w:tblPr>
              <w:tblStyle w:val="3"/>
              <w:tblW w:w="5000" w:type="pct"/>
              <w:tblInd w:w="1" w:type="dxa"/>
              <w:tblBorders>
                <w:top w:val="single" w:color="auto" w:sz="2" w:space="0"/>
                <w:left w:val="single" w:color="auto" w:sz="2" w:space="0"/>
                <w:bottom w:val="single" w:color="auto" w:sz="2" w:space="0"/>
                <w:right w:val="single" w:color="auto" w:sz="2" w:space="0"/>
                <w:insideH w:val="single" w:color="auto" w:sz="6" w:space="0"/>
                <w:insideV w:val="single" w:color="auto" w:sz="6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754"/>
              <w:gridCol w:w="755"/>
              <w:gridCol w:w="755"/>
              <w:gridCol w:w="755"/>
            </w:tblGrid>
            <w:tr>
              <w:tblPrEx>
                <w:tblBorders>
                  <w:top w:val="single" w:color="auto" w:sz="2" w:space="0"/>
                  <w:left w:val="single" w:color="auto" w:sz="2" w:space="0"/>
                  <w:bottom w:val="single" w:color="auto" w:sz="2" w:space="0"/>
                  <w:right w:val="single" w:color="auto" w:sz="2" w:space="0"/>
                  <w:insideH w:val="single" w:color="auto" w:sz="6" w:space="0"/>
                  <w:insideV w:val="single" w:color="auto" w:sz="6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250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eastAsia="仿宋_GB2312"/>
                      <w:sz w:val="24"/>
                    </w:rPr>
                  </w:pPr>
                  <w:r>
                    <w:rPr>
                      <w:rFonts w:eastAsia="仿宋_GB2312"/>
                      <w:sz w:val="24"/>
                    </w:rPr>
                    <w:t>等次</w:t>
                  </w:r>
                </w:p>
              </w:tc>
              <w:tc>
                <w:tcPr>
                  <w:tcW w:w="1250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eastAsia="仿宋_GB2312"/>
                      <w:sz w:val="24"/>
                    </w:rPr>
                  </w:pPr>
                  <w:r>
                    <w:rPr>
                      <w:rFonts w:eastAsia="仿宋_GB2312"/>
                      <w:sz w:val="24"/>
                    </w:rPr>
                    <w:t>一</w:t>
                  </w:r>
                </w:p>
              </w:tc>
              <w:tc>
                <w:tcPr>
                  <w:tcW w:w="1250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eastAsia="仿宋_GB2312"/>
                      <w:sz w:val="24"/>
                    </w:rPr>
                  </w:pPr>
                  <w:r>
                    <w:rPr>
                      <w:rFonts w:eastAsia="仿宋_GB2312"/>
                      <w:sz w:val="24"/>
                    </w:rPr>
                    <w:t>二</w:t>
                  </w:r>
                </w:p>
              </w:tc>
              <w:tc>
                <w:tcPr>
                  <w:tcW w:w="1251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eastAsia="仿宋_GB2312"/>
                      <w:sz w:val="24"/>
                    </w:rPr>
                  </w:pPr>
                  <w:r>
                    <w:rPr>
                      <w:rFonts w:eastAsia="仿宋_GB2312"/>
                      <w:sz w:val="24"/>
                    </w:rPr>
                    <w:t>三</w:t>
                  </w:r>
                </w:p>
              </w:tc>
            </w:tr>
            <w:tr>
              <w:tblPrEx>
                <w:tblBorders>
                  <w:top w:val="single" w:color="auto" w:sz="2" w:space="0"/>
                  <w:left w:val="single" w:color="auto" w:sz="2" w:space="0"/>
                  <w:bottom w:val="single" w:color="auto" w:sz="2" w:space="0"/>
                  <w:right w:val="single" w:color="auto" w:sz="2" w:space="0"/>
                  <w:insideH w:val="single" w:color="auto" w:sz="6" w:space="0"/>
                  <w:insideV w:val="single" w:color="auto" w:sz="6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250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eastAsia="仿宋_GB2312"/>
                      <w:sz w:val="24"/>
                    </w:rPr>
                  </w:pPr>
                  <w:r>
                    <w:rPr>
                      <w:rFonts w:eastAsia="仿宋_GB2312"/>
                      <w:sz w:val="24"/>
                    </w:rPr>
                    <w:t>国家</w:t>
                  </w:r>
                </w:p>
              </w:tc>
              <w:tc>
                <w:tcPr>
                  <w:tcW w:w="1250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eastAsia="仿宋_GB2312"/>
                      <w:sz w:val="24"/>
                    </w:rPr>
                  </w:pPr>
                  <w:r>
                    <w:rPr>
                      <w:rFonts w:eastAsia="仿宋_GB2312"/>
                      <w:sz w:val="24"/>
                    </w:rPr>
                    <w:t>10</w:t>
                  </w:r>
                </w:p>
              </w:tc>
              <w:tc>
                <w:tcPr>
                  <w:tcW w:w="1250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eastAsia="仿宋_GB2312"/>
                      <w:sz w:val="24"/>
                    </w:rPr>
                  </w:pPr>
                  <w:r>
                    <w:rPr>
                      <w:rFonts w:eastAsia="仿宋_GB2312"/>
                      <w:sz w:val="24"/>
                    </w:rPr>
                    <w:t>8</w:t>
                  </w:r>
                </w:p>
              </w:tc>
              <w:tc>
                <w:tcPr>
                  <w:tcW w:w="1251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eastAsia="仿宋_GB2312"/>
                      <w:sz w:val="24"/>
                    </w:rPr>
                  </w:pPr>
                  <w:r>
                    <w:rPr>
                      <w:rFonts w:eastAsia="仿宋_GB2312"/>
                      <w:sz w:val="24"/>
                    </w:rPr>
                    <w:t>6</w:t>
                  </w:r>
                </w:p>
              </w:tc>
            </w:tr>
            <w:tr>
              <w:tblPrEx>
                <w:tblBorders>
                  <w:top w:val="single" w:color="auto" w:sz="2" w:space="0"/>
                  <w:left w:val="single" w:color="auto" w:sz="2" w:space="0"/>
                  <w:bottom w:val="single" w:color="auto" w:sz="2" w:space="0"/>
                  <w:right w:val="single" w:color="auto" w:sz="2" w:space="0"/>
                  <w:insideH w:val="single" w:color="auto" w:sz="6" w:space="0"/>
                  <w:insideV w:val="single" w:color="auto" w:sz="6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250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eastAsia="仿宋_GB2312"/>
                      <w:sz w:val="24"/>
                    </w:rPr>
                  </w:pPr>
                  <w:r>
                    <w:rPr>
                      <w:rFonts w:eastAsia="仿宋_GB2312"/>
                      <w:sz w:val="24"/>
                    </w:rPr>
                    <w:t>省</w:t>
                  </w:r>
                </w:p>
              </w:tc>
              <w:tc>
                <w:tcPr>
                  <w:tcW w:w="1250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eastAsia="仿宋_GB2312"/>
                      <w:sz w:val="24"/>
                    </w:rPr>
                  </w:pPr>
                  <w:r>
                    <w:rPr>
                      <w:rFonts w:eastAsia="仿宋_GB2312"/>
                      <w:sz w:val="24"/>
                    </w:rPr>
                    <w:t>8</w:t>
                  </w:r>
                </w:p>
              </w:tc>
              <w:tc>
                <w:tcPr>
                  <w:tcW w:w="1250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eastAsia="仿宋_GB2312"/>
                      <w:sz w:val="24"/>
                    </w:rPr>
                  </w:pPr>
                  <w:r>
                    <w:rPr>
                      <w:rFonts w:eastAsia="仿宋_GB2312"/>
                      <w:sz w:val="24"/>
                    </w:rPr>
                    <w:t>6</w:t>
                  </w:r>
                </w:p>
              </w:tc>
              <w:tc>
                <w:tcPr>
                  <w:tcW w:w="1251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eastAsia="仿宋_GB2312"/>
                      <w:sz w:val="24"/>
                    </w:rPr>
                  </w:pPr>
                  <w:r>
                    <w:rPr>
                      <w:rFonts w:eastAsia="仿宋_GB2312"/>
                      <w:sz w:val="24"/>
                    </w:rPr>
                    <w:t>4</w:t>
                  </w:r>
                </w:p>
              </w:tc>
            </w:tr>
            <w:tr>
              <w:tblPrEx>
                <w:tblBorders>
                  <w:top w:val="single" w:color="auto" w:sz="2" w:space="0"/>
                  <w:left w:val="single" w:color="auto" w:sz="2" w:space="0"/>
                  <w:bottom w:val="single" w:color="auto" w:sz="2" w:space="0"/>
                  <w:right w:val="single" w:color="auto" w:sz="2" w:space="0"/>
                  <w:insideH w:val="single" w:color="auto" w:sz="6" w:space="0"/>
                  <w:insideV w:val="single" w:color="auto" w:sz="6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250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eastAsia="仿宋_GB2312"/>
                      <w:sz w:val="24"/>
                    </w:rPr>
                  </w:pPr>
                  <w:r>
                    <w:rPr>
                      <w:rFonts w:eastAsia="仿宋_GB2312"/>
                      <w:sz w:val="24"/>
                    </w:rPr>
                    <w:t>市</w:t>
                  </w:r>
                </w:p>
              </w:tc>
              <w:tc>
                <w:tcPr>
                  <w:tcW w:w="1250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eastAsia="仿宋_GB2312"/>
                      <w:sz w:val="24"/>
                    </w:rPr>
                  </w:pPr>
                  <w:r>
                    <w:rPr>
                      <w:rFonts w:eastAsia="仿宋_GB2312"/>
                      <w:sz w:val="24"/>
                    </w:rPr>
                    <w:t>6</w:t>
                  </w:r>
                </w:p>
              </w:tc>
              <w:tc>
                <w:tcPr>
                  <w:tcW w:w="1250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eastAsia="仿宋_GB2312"/>
                      <w:sz w:val="24"/>
                    </w:rPr>
                  </w:pPr>
                  <w:r>
                    <w:rPr>
                      <w:rFonts w:eastAsia="仿宋_GB2312"/>
                      <w:sz w:val="24"/>
                    </w:rPr>
                    <w:t>4</w:t>
                  </w:r>
                </w:p>
              </w:tc>
              <w:tc>
                <w:tcPr>
                  <w:tcW w:w="1251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eastAsia="仿宋_GB2312"/>
                      <w:sz w:val="24"/>
                    </w:rPr>
                  </w:pPr>
                  <w:r>
                    <w:rPr>
                      <w:rFonts w:eastAsia="仿宋_GB2312"/>
                      <w:sz w:val="24"/>
                    </w:rPr>
                    <w:t>3</w:t>
                  </w:r>
                </w:p>
              </w:tc>
            </w:tr>
            <w:tr>
              <w:tblPrEx>
                <w:tblBorders>
                  <w:top w:val="single" w:color="auto" w:sz="2" w:space="0"/>
                  <w:left w:val="single" w:color="auto" w:sz="2" w:space="0"/>
                  <w:bottom w:val="single" w:color="auto" w:sz="2" w:space="0"/>
                  <w:right w:val="single" w:color="auto" w:sz="2" w:space="0"/>
                  <w:insideH w:val="single" w:color="auto" w:sz="6" w:space="0"/>
                  <w:insideV w:val="single" w:color="auto" w:sz="6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250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eastAsia="仿宋_GB2312"/>
                      <w:sz w:val="24"/>
                    </w:rPr>
                  </w:pPr>
                  <w:r>
                    <w:rPr>
                      <w:rFonts w:eastAsia="仿宋_GB2312"/>
                      <w:sz w:val="24"/>
                    </w:rPr>
                    <w:t>县</w:t>
                  </w:r>
                </w:p>
              </w:tc>
              <w:tc>
                <w:tcPr>
                  <w:tcW w:w="1250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eastAsia="仿宋_GB2312"/>
                      <w:sz w:val="24"/>
                    </w:rPr>
                  </w:pPr>
                  <w:r>
                    <w:rPr>
                      <w:rFonts w:eastAsia="仿宋_GB2312"/>
                      <w:sz w:val="24"/>
                    </w:rPr>
                    <w:t>4</w:t>
                  </w:r>
                </w:p>
              </w:tc>
              <w:tc>
                <w:tcPr>
                  <w:tcW w:w="1250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eastAsia="仿宋_GB2312"/>
                      <w:sz w:val="24"/>
                    </w:rPr>
                  </w:pPr>
                  <w:r>
                    <w:rPr>
                      <w:rFonts w:eastAsia="仿宋_GB2312"/>
                      <w:sz w:val="24"/>
                    </w:rPr>
                    <w:t>3</w:t>
                  </w:r>
                </w:p>
              </w:tc>
              <w:tc>
                <w:tcPr>
                  <w:tcW w:w="1251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eastAsia="仿宋_GB2312"/>
                      <w:sz w:val="24"/>
                    </w:rPr>
                  </w:pPr>
                  <w:r>
                    <w:rPr>
                      <w:rFonts w:eastAsia="仿宋_GB2312"/>
                      <w:sz w:val="24"/>
                    </w:rPr>
                    <w:t>2</w:t>
                  </w:r>
                </w:p>
              </w:tc>
            </w:tr>
          </w:tbl>
          <w:p>
            <w:pPr>
              <w:ind w:firstLine="480" w:firstLineChars="2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其他教学基本功比赛获奖按同级优质课获奖降一个等次计分。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6" w:hRule="atLeast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论文获奖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（15分）</w:t>
            </w:r>
          </w:p>
        </w:tc>
        <w:tc>
          <w:tcPr>
            <w:tcW w:w="3240" w:type="dxa"/>
            <w:gridSpan w:val="3"/>
            <w:noWrap w:val="0"/>
            <w:vAlign w:val="center"/>
          </w:tcPr>
          <w:p>
            <w:pPr>
              <w:ind w:firstLine="480" w:firstLineChars="2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历年参加各级教育行政主管部门组织的的论文（案例）评比获奖。 </w:t>
            </w:r>
          </w:p>
          <w:p>
            <w:pPr>
              <w:ind w:firstLine="480" w:firstLineChars="2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民间学术团体与教育部门共同组织的论文（案例）评比，只认定其中的教育部门。</w:t>
            </w:r>
          </w:p>
        </w:tc>
        <w:tc>
          <w:tcPr>
            <w:tcW w:w="3240" w:type="dxa"/>
            <w:gridSpan w:val="2"/>
            <w:noWrap w:val="0"/>
            <w:vAlign w:val="center"/>
          </w:tcPr>
          <w:p>
            <w:pPr>
              <w:ind w:firstLine="480" w:firstLineChars="2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按所获奖次累计计分，至该项满分为止。每次论文（案例）获奖按下列等次计分：</w:t>
            </w:r>
          </w:p>
          <w:tbl>
            <w:tblPr>
              <w:tblStyle w:val="3"/>
              <w:tblW w:w="5000" w:type="pct"/>
              <w:tblInd w:w="1" w:type="dxa"/>
              <w:tblBorders>
                <w:top w:val="single" w:color="auto" w:sz="2" w:space="0"/>
                <w:left w:val="single" w:color="auto" w:sz="2" w:space="0"/>
                <w:bottom w:val="single" w:color="auto" w:sz="2" w:space="0"/>
                <w:right w:val="single" w:color="auto" w:sz="2" w:space="0"/>
                <w:insideH w:val="single" w:color="auto" w:sz="6" w:space="0"/>
                <w:insideV w:val="single" w:color="auto" w:sz="6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754"/>
              <w:gridCol w:w="755"/>
              <w:gridCol w:w="755"/>
              <w:gridCol w:w="755"/>
            </w:tblGrid>
            <w:tr>
              <w:tblPrEx>
                <w:tblBorders>
                  <w:top w:val="single" w:color="auto" w:sz="2" w:space="0"/>
                  <w:left w:val="single" w:color="auto" w:sz="2" w:space="0"/>
                  <w:bottom w:val="single" w:color="auto" w:sz="2" w:space="0"/>
                  <w:right w:val="single" w:color="auto" w:sz="2" w:space="0"/>
                  <w:insideH w:val="single" w:color="auto" w:sz="6" w:space="0"/>
                  <w:insideV w:val="single" w:color="auto" w:sz="6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250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eastAsia="仿宋_GB2312"/>
                      <w:sz w:val="24"/>
                    </w:rPr>
                  </w:pPr>
                  <w:r>
                    <w:rPr>
                      <w:rFonts w:eastAsia="仿宋_GB2312"/>
                      <w:sz w:val="24"/>
                    </w:rPr>
                    <w:t>等次</w:t>
                  </w:r>
                </w:p>
              </w:tc>
              <w:tc>
                <w:tcPr>
                  <w:tcW w:w="1250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eastAsia="仿宋_GB2312"/>
                      <w:sz w:val="24"/>
                    </w:rPr>
                  </w:pPr>
                  <w:r>
                    <w:rPr>
                      <w:rFonts w:eastAsia="仿宋_GB2312"/>
                      <w:sz w:val="24"/>
                    </w:rPr>
                    <w:t>一</w:t>
                  </w:r>
                </w:p>
              </w:tc>
              <w:tc>
                <w:tcPr>
                  <w:tcW w:w="1250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eastAsia="仿宋_GB2312"/>
                      <w:sz w:val="24"/>
                    </w:rPr>
                  </w:pPr>
                  <w:r>
                    <w:rPr>
                      <w:rFonts w:eastAsia="仿宋_GB2312"/>
                      <w:sz w:val="24"/>
                    </w:rPr>
                    <w:t>二</w:t>
                  </w:r>
                </w:p>
              </w:tc>
              <w:tc>
                <w:tcPr>
                  <w:tcW w:w="1251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eastAsia="仿宋_GB2312"/>
                      <w:sz w:val="24"/>
                    </w:rPr>
                  </w:pPr>
                  <w:r>
                    <w:rPr>
                      <w:rFonts w:eastAsia="仿宋_GB2312"/>
                      <w:sz w:val="24"/>
                    </w:rPr>
                    <w:t>三</w:t>
                  </w:r>
                </w:p>
              </w:tc>
            </w:tr>
            <w:tr>
              <w:tblPrEx>
                <w:tblBorders>
                  <w:top w:val="single" w:color="auto" w:sz="2" w:space="0"/>
                  <w:left w:val="single" w:color="auto" w:sz="2" w:space="0"/>
                  <w:bottom w:val="single" w:color="auto" w:sz="2" w:space="0"/>
                  <w:right w:val="single" w:color="auto" w:sz="2" w:space="0"/>
                  <w:insideH w:val="single" w:color="auto" w:sz="6" w:space="0"/>
                  <w:insideV w:val="single" w:color="auto" w:sz="6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250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eastAsia="仿宋_GB2312"/>
                      <w:sz w:val="24"/>
                    </w:rPr>
                  </w:pPr>
                  <w:r>
                    <w:rPr>
                      <w:rFonts w:eastAsia="仿宋_GB2312"/>
                      <w:sz w:val="24"/>
                    </w:rPr>
                    <w:t>国家</w:t>
                  </w:r>
                </w:p>
              </w:tc>
              <w:tc>
                <w:tcPr>
                  <w:tcW w:w="1250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eastAsia="仿宋_GB2312"/>
                      <w:sz w:val="24"/>
                    </w:rPr>
                  </w:pPr>
                  <w:r>
                    <w:rPr>
                      <w:rFonts w:eastAsia="仿宋_GB2312"/>
                      <w:sz w:val="24"/>
                    </w:rPr>
                    <w:t>5</w:t>
                  </w:r>
                </w:p>
              </w:tc>
              <w:tc>
                <w:tcPr>
                  <w:tcW w:w="1250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eastAsia="仿宋_GB2312"/>
                      <w:sz w:val="24"/>
                    </w:rPr>
                  </w:pPr>
                  <w:r>
                    <w:rPr>
                      <w:rFonts w:eastAsia="仿宋_GB2312"/>
                      <w:sz w:val="24"/>
                    </w:rPr>
                    <w:t>4</w:t>
                  </w:r>
                </w:p>
              </w:tc>
              <w:tc>
                <w:tcPr>
                  <w:tcW w:w="1251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eastAsia="仿宋_GB2312"/>
                      <w:sz w:val="24"/>
                    </w:rPr>
                  </w:pPr>
                  <w:r>
                    <w:rPr>
                      <w:rFonts w:eastAsia="仿宋_GB2312"/>
                      <w:sz w:val="24"/>
                    </w:rPr>
                    <w:t>3</w:t>
                  </w:r>
                </w:p>
              </w:tc>
            </w:tr>
            <w:tr>
              <w:tblPrEx>
                <w:tblBorders>
                  <w:top w:val="single" w:color="auto" w:sz="2" w:space="0"/>
                  <w:left w:val="single" w:color="auto" w:sz="2" w:space="0"/>
                  <w:bottom w:val="single" w:color="auto" w:sz="2" w:space="0"/>
                  <w:right w:val="single" w:color="auto" w:sz="2" w:space="0"/>
                  <w:insideH w:val="single" w:color="auto" w:sz="6" w:space="0"/>
                  <w:insideV w:val="single" w:color="auto" w:sz="6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250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eastAsia="仿宋_GB2312"/>
                      <w:sz w:val="24"/>
                    </w:rPr>
                  </w:pPr>
                  <w:r>
                    <w:rPr>
                      <w:rFonts w:eastAsia="仿宋_GB2312"/>
                      <w:sz w:val="24"/>
                    </w:rPr>
                    <w:t>省</w:t>
                  </w:r>
                </w:p>
              </w:tc>
              <w:tc>
                <w:tcPr>
                  <w:tcW w:w="1250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eastAsia="仿宋_GB2312"/>
                      <w:sz w:val="24"/>
                    </w:rPr>
                  </w:pPr>
                  <w:r>
                    <w:rPr>
                      <w:rFonts w:eastAsia="仿宋_GB2312"/>
                      <w:sz w:val="24"/>
                    </w:rPr>
                    <w:t>4</w:t>
                  </w:r>
                </w:p>
              </w:tc>
              <w:tc>
                <w:tcPr>
                  <w:tcW w:w="1250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eastAsia="仿宋_GB2312"/>
                      <w:sz w:val="24"/>
                    </w:rPr>
                  </w:pPr>
                  <w:r>
                    <w:rPr>
                      <w:rFonts w:eastAsia="仿宋_GB2312"/>
                      <w:sz w:val="24"/>
                    </w:rPr>
                    <w:t>3</w:t>
                  </w:r>
                </w:p>
              </w:tc>
              <w:tc>
                <w:tcPr>
                  <w:tcW w:w="1251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eastAsia="仿宋_GB2312"/>
                      <w:sz w:val="24"/>
                    </w:rPr>
                  </w:pPr>
                  <w:r>
                    <w:rPr>
                      <w:rFonts w:eastAsia="仿宋_GB2312"/>
                      <w:sz w:val="24"/>
                    </w:rPr>
                    <w:t>2</w:t>
                  </w:r>
                </w:p>
              </w:tc>
            </w:tr>
            <w:tr>
              <w:tblPrEx>
                <w:tblBorders>
                  <w:top w:val="single" w:color="auto" w:sz="2" w:space="0"/>
                  <w:left w:val="single" w:color="auto" w:sz="2" w:space="0"/>
                  <w:bottom w:val="single" w:color="auto" w:sz="2" w:space="0"/>
                  <w:right w:val="single" w:color="auto" w:sz="2" w:space="0"/>
                  <w:insideH w:val="single" w:color="auto" w:sz="6" w:space="0"/>
                  <w:insideV w:val="single" w:color="auto" w:sz="6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250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eastAsia="仿宋_GB2312"/>
                      <w:sz w:val="24"/>
                    </w:rPr>
                  </w:pPr>
                  <w:r>
                    <w:rPr>
                      <w:rFonts w:eastAsia="仿宋_GB2312"/>
                      <w:sz w:val="24"/>
                    </w:rPr>
                    <w:t>市</w:t>
                  </w:r>
                </w:p>
              </w:tc>
              <w:tc>
                <w:tcPr>
                  <w:tcW w:w="1250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eastAsia="仿宋_GB2312"/>
                      <w:sz w:val="24"/>
                    </w:rPr>
                  </w:pPr>
                  <w:r>
                    <w:rPr>
                      <w:rFonts w:eastAsia="仿宋_GB2312"/>
                      <w:sz w:val="24"/>
                    </w:rPr>
                    <w:t>3</w:t>
                  </w:r>
                </w:p>
              </w:tc>
              <w:tc>
                <w:tcPr>
                  <w:tcW w:w="1250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eastAsia="仿宋_GB2312"/>
                      <w:sz w:val="24"/>
                    </w:rPr>
                  </w:pPr>
                  <w:r>
                    <w:rPr>
                      <w:rFonts w:eastAsia="仿宋_GB2312"/>
                      <w:sz w:val="24"/>
                    </w:rPr>
                    <w:t>2</w:t>
                  </w:r>
                </w:p>
              </w:tc>
              <w:tc>
                <w:tcPr>
                  <w:tcW w:w="1251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eastAsia="仿宋_GB2312"/>
                      <w:sz w:val="24"/>
                    </w:rPr>
                  </w:pPr>
                  <w:r>
                    <w:rPr>
                      <w:rFonts w:eastAsia="仿宋_GB2312"/>
                      <w:sz w:val="24"/>
                    </w:rPr>
                    <w:t>1</w:t>
                  </w:r>
                </w:p>
              </w:tc>
            </w:tr>
            <w:tr>
              <w:tblPrEx>
                <w:tblBorders>
                  <w:top w:val="single" w:color="auto" w:sz="2" w:space="0"/>
                  <w:left w:val="single" w:color="auto" w:sz="2" w:space="0"/>
                  <w:bottom w:val="single" w:color="auto" w:sz="2" w:space="0"/>
                  <w:right w:val="single" w:color="auto" w:sz="2" w:space="0"/>
                  <w:insideH w:val="single" w:color="auto" w:sz="6" w:space="0"/>
                  <w:insideV w:val="single" w:color="auto" w:sz="6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250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eastAsia="仿宋_GB2312"/>
                      <w:sz w:val="24"/>
                    </w:rPr>
                  </w:pPr>
                  <w:r>
                    <w:rPr>
                      <w:rFonts w:eastAsia="仿宋_GB2312"/>
                      <w:sz w:val="24"/>
                    </w:rPr>
                    <w:t>县</w:t>
                  </w:r>
                </w:p>
              </w:tc>
              <w:tc>
                <w:tcPr>
                  <w:tcW w:w="1250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eastAsia="仿宋_GB2312"/>
                      <w:sz w:val="24"/>
                    </w:rPr>
                  </w:pPr>
                  <w:r>
                    <w:rPr>
                      <w:rFonts w:eastAsia="仿宋_GB2312"/>
                      <w:sz w:val="24"/>
                    </w:rPr>
                    <w:t>2</w:t>
                  </w:r>
                </w:p>
              </w:tc>
              <w:tc>
                <w:tcPr>
                  <w:tcW w:w="2501" w:type="pct"/>
                  <w:gridSpan w:val="2"/>
                  <w:noWrap w:val="0"/>
                  <w:vAlign w:val="center"/>
                </w:tcPr>
                <w:p>
                  <w:pPr>
                    <w:jc w:val="center"/>
                    <w:rPr>
                      <w:rFonts w:eastAsia="仿宋_GB2312"/>
                      <w:sz w:val="24"/>
                    </w:rPr>
                  </w:pPr>
                  <w:r>
                    <w:rPr>
                      <w:rFonts w:eastAsia="仿宋_GB2312"/>
                      <w:sz w:val="24"/>
                    </w:rPr>
                    <w:t>1</w:t>
                  </w:r>
                </w:p>
              </w:tc>
            </w:tr>
          </w:tbl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7" w:hRule="atLeast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文章发表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（15分）</w:t>
            </w:r>
          </w:p>
        </w:tc>
        <w:tc>
          <w:tcPr>
            <w:tcW w:w="3240" w:type="dxa"/>
            <w:gridSpan w:val="3"/>
            <w:noWrap w:val="0"/>
            <w:vAlign w:val="center"/>
          </w:tcPr>
          <w:p>
            <w:pPr>
              <w:ind w:firstLine="480" w:firstLineChars="2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历年在具有国家正式刊号的专业报刊发表，且能够在知网检索的教育类文章（或著作）。</w:t>
            </w:r>
          </w:p>
        </w:tc>
        <w:tc>
          <w:tcPr>
            <w:tcW w:w="3240" w:type="dxa"/>
            <w:gridSpan w:val="2"/>
            <w:noWrap w:val="0"/>
            <w:vAlign w:val="center"/>
          </w:tcPr>
          <w:p>
            <w:pPr>
              <w:ind w:firstLine="480" w:firstLineChars="2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按刊物级别累计计分，至该项满分为止。</w:t>
            </w:r>
          </w:p>
          <w:p>
            <w:pPr>
              <w:ind w:firstLine="480" w:firstLineChars="2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每篇文章按国家、省、市、县级分别计5、3、2、1分。</w:t>
            </w:r>
          </w:p>
          <w:p>
            <w:pPr>
              <w:ind w:firstLine="480" w:firstLineChars="2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出版10万字以上（不含以练习为主的教辅），有正规刊号的学术著作，主编按国家级别计分；其他编委按省级计分。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2" w:hRule="atLeast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辅导学生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（10分）</w:t>
            </w:r>
          </w:p>
        </w:tc>
        <w:tc>
          <w:tcPr>
            <w:tcW w:w="3240" w:type="dxa"/>
            <w:gridSpan w:val="3"/>
            <w:noWrap w:val="0"/>
            <w:vAlign w:val="center"/>
          </w:tcPr>
          <w:p>
            <w:pPr>
              <w:ind w:firstLine="480" w:firstLineChars="2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近8年，辅导学生参加由教育主管部门组织的各类竞赛（包括科学小论文、小制作、小发明等）获奖。</w:t>
            </w:r>
          </w:p>
          <w:p>
            <w:pPr>
              <w:ind w:firstLine="480" w:firstLineChars="2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辅导学生习作在具有国家正式刊号的专业报刊发表。 </w:t>
            </w:r>
          </w:p>
        </w:tc>
        <w:tc>
          <w:tcPr>
            <w:tcW w:w="3240" w:type="dxa"/>
            <w:gridSpan w:val="2"/>
            <w:noWrap w:val="0"/>
            <w:vAlign w:val="center"/>
          </w:tcPr>
          <w:p>
            <w:pPr>
              <w:ind w:firstLine="480" w:firstLineChars="2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按获奖或发表习作刊物的最高级别计分。</w:t>
            </w:r>
          </w:p>
          <w:p>
            <w:pPr>
              <w:ind w:firstLine="480" w:firstLineChars="2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获国家、省、市、县级奖或在相应级别刊物上发表习作，分别计10、8、5、2分。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1" w:hRule="atLeast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经验交流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（10分）</w:t>
            </w:r>
          </w:p>
        </w:tc>
        <w:tc>
          <w:tcPr>
            <w:tcW w:w="3240" w:type="dxa"/>
            <w:gridSpan w:val="3"/>
            <w:noWrap w:val="0"/>
            <w:vAlign w:val="center"/>
          </w:tcPr>
          <w:p>
            <w:pPr>
              <w:ind w:firstLine="480" w:firstLineChars="2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近8年，在教育主管部门或其下属的学术团体组织的活动中，承担了展示课、学术交流或讲座等教学教研工作经验交流活动。 </w:t>
            </w:r>
          </w:p>
        </w:tc>
        <w:tc>
          <w:tcPr>
            <w:tcW w:w="3240" w:type="dxa"/>
            <w:gridSpan w:val="2"/>
            <w:noWrap w:val="0"/>
            <w:vAlign w:val="center"/>
          </w:tcPr>
          <w:p>
            <w:pPr>
              <w:ind w:firstLine="480" w:firstLineChars="2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按组织活动并授予活动证书的单位，取最高级别计分。国家、省、市、县级分别计10、8、5、2分。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9" w:hRule="atLeast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课题研究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（10分）</w:t>
            </w:r>
          </w:p>
        </w:tc>
        <w:tc>
          <w:tcPr>
            <w:tcW w:w="3240" w:type="dxa"/>
            <w:gridSpan w:val="3"/>
            <w:noWrap w:val="0"/>
            <w:vAlign w:val="center"/>
          </w:tcPr>
          <w:p>
            <w:pPr>
              <w:ind w:firstLine="480" w:firstLineChars="2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近8年，参加教育主管部门或下属的学术团体组织的，且在赤壁市教研室备案，有相关教研员跟踪调研或参与，能呈现研究过程的正规课题研究。</w:t>
            </w:r>
          </w:p>
        </w:tc>
        <w:tc>
          <w:tcPr>
            <w:tcW w:w="3240" w:type="dxa"/>
            <w:gridSpan w:val="2"/>
            <w:noWrap w:val="0"/>
            <w:vAlign w:val="center"/>
          </w:tcPr>
          <w:p>
            <w:pPr>
              <w:ind w:firstLine="480" w:firstLineChars="2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按研究分工和结题状态，取最高级别计分。</w:t>
            </w:r>
          </w:p>
          <w:p>
            <w:pPr>
              <w:ind w:firstLine="480" w:firstLineChars="2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已结题的省、市、县级课题，课题负责人分别计10、8、6分；课题成员分别计5、4、3分；</w:t>
            </w:r>
          </w:p>
          <w:p>
            <w:pPr>
              <w:ind w:firstLine="480" w:firstLineChars="2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未结题的省、市、县级课题，课题负责人和课题成员均按课题级别降2分计分。 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2142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总得分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（100分）</w:t>
            </w:r>
          </w:p>
        </w:tc>
        <w:tc>
          <w:tcPr>
            <w:tcW w:w="2286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98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折算得分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（15%）</w:t>
            </w:r>
          </w:p>
        </w:tc>
        <w:tc>
          <w:tcPr>
            <w:tcW w:w="2142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</w:tbl>
    <w:p>
      <w:pPr>
        <w:spacing w:before="156" w:beforeLines="50" w:line="440" w:lineRule="exac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考评人签字：                                  年   月   日</w:t>
      </w:r>
    </w:p>
    <w:p>
      <w:pPr>
        <w:spacing w:line="46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        </w:t>
      </w: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11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55F33B7B"/>
    <w:rsid w:val="55F33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2022-08-11T03:43:00Z</dcterms:created>
  <dc:creator>huatu</dc:creator>
  <cp:lastModifiedBy>huatu</cp:lastModifiedBy>
  <dcterms:modified xsi:type="dcterms:W3CDTF">2022-08-11T03:43:35Z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0F9B91CD6EC74EBC90414DBBF57BB268</vt:lpwstr>
  </property>
</Properties>
</file>