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1302"/>
        <w:gridCol w:w="874"/>
        <w:gridCol w:w="874"/>
        <w:gridCol w:w="1027"/>
        <w:gridCol w:w="274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类别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高级人才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由区教育局统筹安排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名优骨干教师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局属小学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名优骨干教师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长沙市一中双语实验学校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长沙市长郡芙蓉中学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初中信息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湖南师大附中芙蓉中学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长沙市一中马王堆中学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EC9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2022-11-30T01:27:12Z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D11814E66E414627951243B2C246981E</vt:lpwstr>
  </property>
</Properties>
</file>