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center"/>
        <w:rPr>
          <w:i w:val="0"/>
          <w:iCs w:val="0"/>
        </w:rPr>
      </w:pPr>
      <w:r>
        <w:rPr>
          <w:rFonts w:hint="eastAsia" w:ascii="微软雅黑" w:hAnsi="微软雅黑" w:eastAsia="微软雅黑" w:cs="微软雅黑"/>
          <w:i w:val="0"/>
          <w:iCs w:val="0"/>
          <w:caps w:val="0"/>
          <w:color w:val="5C5C5C"/>
          <w:spacing w:val="0"/>
          <w:sz w:val="21"/>
          <w:szCs w:val="21"/>
          <w:bdr w:val="none" w:color="auto" w:sz="0" w:space="0"/>
        </w:rPr>
        <w:t>2023年政和县“人才·校园行”教育人才引进报名表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center"/>
        <w:rPr>
          <w:i w:val="0"/>
          <w:iCs w:val="0"/>
        </w:rPr>
      </w:pPr>
      <w:r>
        <w:rPr>
          <w:rFonts w:hint="eastAsia" w:ascii="微软雅黑" w:hAnsi="微软雅黑" w:eastAsia="微软雅黑" w:cs="微软雅黑"/>
          <w:i w:val="0"/>
          <w:iCs w:val="0"/>
          <w:caps w:val="0"/>
          <w:color w:val="5C5C5C"/>
          <w:spacing w:val="0"/>
          <w:sz w:val="21"/>
          <w:szCs w:val="21"/>
          <w:bdr w:val="none" w:color="auto" w:sz="0" w:space="0"/>
        </w:rPr>
        <w:t>报考学校：　　　　　　　　　报考岗位：　　　　　　　　　　</w:t>
      </w:r>
    </w:p>
    <w:tbl>
      <w:tblPr>
        <w:tblW w:w="7755"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1253"/>
        <w:gridCol w:w="1715"/>
        <w:gridCol w:w="840"/>
        <w:gridCol w:w="89"/>
        <w:gridCol w:w="713"/>
        <w:gridCol w:w="113"/>
        <w:gridCol w:w="542"/>
        <w:gridCol w:w="222"/>
        <w:gridCol w:w="740"/>
        <w:gridCol w:w="152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rPr>
          <w:trHeight w:val="539"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姓 名</w:t>
            </w:r>
          </w:p>
        </w:tc>
        <w:tc>
          <w:tcPr>
            <w:tcW w:w="174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性 别</w:t>
            </w:r>
          </w:p>
        </w:tc>
        <w:tc>
          <w:tcPr>
            <w:tcW w:w="810"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600"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rPr>
                <w:i w:val="0"/>
                <w:iCs w:val="0"/>
              </w:rPr>
            </w:pPr>
            <w:r>
              <w:rPr>
                <w:rFonts w:hint="eastAsia" w:ascii="宋体" w:hAnsi="宋体" w:eastAsia="宋体" w:cs="宋体"/>
                <w:i w:val="0"/>
                <w:iCs w:val="0"/>
                <w:sz w:val="24"/>
                <w:szCs w:val="24"/>
                <w:bdr w:val="none" w:color="auto" w:sz="0" w:space="0"/>
              </w:rPr>
              <w:t>出</w:t>
            </w:r>
            <w:r>
              <w:rPr>
                <w:i w:val="0"/>
                <w:iCs w:val="0"/>
                <w:bdr w:val="none" w:color="auto" w:sz="0" w:space="0"/>
              </w:rPr>
              <w:t> </w:t>
            </w:r>
            <w:r>
              <w:rPr>
                <w:rFonts w:hint="eastAsia" w:ascii="宋体" w:hAnsi="宋体" w:eastAsia="宋体" w:cs="宋体"/>
                <w:i w:val="0"/>
                <w:iCs w:val="0"/>
                <w:sz w:val="24"/>
                <w:szCs w:val="24"/>
                <w:bdr w:val="none" w:color="auto" w:sz="0" w:space="0"/>
              </w:rPr>
              <w:t>生年</w:t>
            </w:r>
            <w:r>
              <w:rPr>
                <w:i w:val="0"/>
                <w:iCs w:val="0"/>
                <w:bdr w:val="none" w:color="auto" w:sz="0" w:space="0"/>
              </w:rPr>
              <w:t> </w:t>
            </w:r>
            <w:r>
              <w:rPr>
                <w:rFonts w:hint="eastAsia" w:ascii="宋体" w:hAnsi="宋体" w:eastAsia="宋体" w:cs="宋体"/>
                <w:i w:val="0"/>
                <w:iCs w:val="0"/>
                <w:sz w:val="24"/>
                <w:szCs w:val="24"/>
                <w:bdr w:val="none" w:color="auto" w:sz="0" w:space="0"/>
              </w:rPr>
              <w:t>月</w:t>
            </w:r>
          </w:p>
        </w:tc>
        <w:tc>
          <w:tcPr>
            <w:tcW w:w="960"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1530" w:type="dxa"/>
            <w:vMerge w:val="restart"/>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照片</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536"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政治面貌</w:t>
            </w:r>
          </w:p>
        </w:tc>
        <w:tc>
          <w:tcPr>
            <w:tcW w:w="174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民 族</w:t>
            </w:r>
          </w:p>
        </w:tc>
        <w:tc>
          <w:tcPr>
            <w:tcW w:w="810"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600"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籍</w:t>
            </w:r>
            <w:r>
              <w:rPr>
                <w:i w:val="0"/>
                <w:iCs w:val="0"/>
                <w:bdr w:val="none" w:color="auto" w:sz="0" w:space="0"/>
              </w:rPr>
              <w:t> </w:t>
            </w:r>
            <w:r>
              <w:rPr>
                <w:rFonts w:hint="eastAsia" w:ascii="宋体" w:hAnsi="宋体" w:eastAsia="宋体" w:cs="宋体"/>
                <w:i w:val="0"/>
                <w:iCs w:val="0"/>
                <w:sz w:val="24"/>
                <w:szCs w:val="24"/>
                <w:bdr w:val="none" w:color="auto" w:sz="0" w:space="0"/>
              </w:rPr>
              <w:t>贯</w:t>
            </w:r>
          </w:p>
        </w:tc>
        <w:tc>
          <w:tcPr>
            <w:tcW w:w="960"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1530" w:type="dxa"/>
            <w:vMerge w:val="continue"/>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272"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身份证号</w:t>
            </w:r>
          </w:p>
        </w:tc>
        <w:tc>
          <w:tcPr>
            <w:tcW w:w="4950" w:type="dxa"/>
            <w:gridSpan w:val="8"/>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1530" w:type="dxa"/>
            <w:vMerge w:val="continue"/>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489"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入学前户籍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所在地</w:t>
            </w:r>
          </w:p>
        </w:tc>
        <w:tc>
          <w:tcPr>
            <w:tcW w:w="174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现户籍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所在地</w:t>
            </w:r>
          </w:p>
        </w:tc>
        <w:tc>
          <w:tcPr>
            <w:tcW w:w="2385" w:type="dxa"/>
            <w:gridSpan w:val="6"/>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1530" w:type="dxa"/>
            <w:vMerge w:val="continue"/>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rPr>
                <w:rFonts w:hint="eastAsia" w:ascii="宋体"/>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36"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普通话等级</w:t>
            </w:r>
          </w:p>
        </w:tc>
        <w:tc>
          <w:tcPr>
            <w:tcW w:w="2550"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1425" w:type="dxa"/>
            <w:gridSpan w:val="4"/>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手 机</w:t>
            </w:r>
          </w:p>
        </w:tc>
        <w:tc>
          <w:tcPr>
            <w:tcW w:w="2490" w:type="dxa"/>
            <w:gridSpan w:val="3"/>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319"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教师资格证</w:t>
            </w:r>
          </w:p>
        </w:tc>
        <w:tc>
          <w:tcPr>
            <w:tcW w:w="6480" w:type="dxa"/>
            <w:gridSpan w:val="9"/>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26"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就读院校</w:t>
            </w:r>
          </w:p>
        </w:tc>
        <w:tc>
          <w:tcPr>
            <w:tcW w:w="2640" w:type="dxa"/>
            <w:gridSpan w:val="3"/>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825"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是否师范类专业</w:t>
            </w:r>
          </w:p>
        </w:tc>
        <w:tc>
          <w:tcPr>
            <w:tcW w:w="3015" w:type="dxa"/>
            <w:gridSpan w:val="4"/>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216"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所学专业</w:t>
            </w:r>
          </w:p>
        </w:tc>
        <w:tc>
          <w:tcPr>
            <w:tcW w:w="6480" w:type="dxa"/>
            <w:gridSpan w:val="9"/>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500"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学　历</w:t>
            </w:r>
          </w:p>
        </w:tc>
        <w:tc>
          <w:tcPr>
            <w:tcW w:w="2640" w:type="dxa"/>
            <w:gridSpan w:val="3"/>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1560" w:type="dxa"/>
            <w:gridSpan w:val="4"/>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学 位</w:t>
            </w:r>
          </w:p>
        </w:tc>
        <w:tc>
          <w:tcPr>
            <w:tcW w:w="2280" w:type="dxa"/>
            <w:gridSpan w:val="2"/>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61"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主要简历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（从高中填起）</w:t>
            </w:r>
          </w:p>
        </w:tc>
        <w:tc>
          <w:tcPr>
            <w:tcW w:w="6480" w:type="dxa"/>
            <w:gridSpan w:val="9"/>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61"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c>
          <w:tcPr>
            <w:tcW w:w="6480" w:type="dxa"/>
            <w:gridSpan w:val="9"/>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66"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奖惩情况</w:t>
            </w:r>
          </w:p>
        </w:tc>
        <w:tc>
          <w:tcPr>
            <w:tcW w:w="6480" w:type="dxa"/>
            <w:gridSpan w:val="9"/>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keepNext w:val="0"/>
              <w:keepLines w:val="0"/>
              <w:widowControl/>
              <w:suppressLineNumbers w:val="0"/>
              <w:spacing w:before="0" w:beforeAutospacing="0" w:after="0" w:afterAutospacing="0"/>
              <w:ind w:left="0" w:right="0"/>
              <w:jc w:val="left"/>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rPr>
          <w:trHeight w:val="1421" w:hRule="atLeast"/>
          <w:tblCellSpacing w:w="0" w:type="dxa"/>
          <w:jc w:val="center"/>
        </w:trPr>
        <w:tc>
          <w:tcPr>
            <w:tcW w:w="1260" w:type="dxa"/>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本人承诺</w:t>
            </w:r>
          </w:p>
        </w:tc>
        <w:tc>
          <w:tcPr>
            <w:tcW w:w="6480" w:type="dxa"/>
            <w:gridSpan w:val="9"/>
            <w:tcBorders>
              <w:top w:val="single" w:color="DCDCDC" w:sz="6" w:space="0"/>
              <w:left w:val="single" w:color="DCDCDC" w:sz="6" w:space="0"/>
              <w:bottom w:val="single" w:color="DCDCDC" w:sz="6" w:space="0"/>
              <w:right w:val="single" w:color="DCDCDC" w:sz="6" w:space="0"/>
            </w:tcBorders>
            <w:shd w:val="clear"/>
            <w:tcMar>
              <w:top w:w="45" w:type="dxa"/>
              <w:left w:w="45" w:type="dxa"/>
              <w:bottom w:w="45" w:type="dxa"/>
              <w:right w:w="4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i w:val="0"/>
                <w:iCs w:val="0"/>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本人确认以上所填信息真实、准确。如有不实导致被取消录用资格，本人愿负全责。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rFonts w:hint="eastAsia" w:ascii="宋体" w:hAnsi="宋体" w:eastAsia="宋体" w:cs="宋体"/>
                <w:i w:val="0"/>
                <w:iCs w:val="0"/>
                <w:sz w:val="24"/>
                <w:szCs w:val="24"/>
                <w:bdr w:val="none" w:color="auto" w:sz="0" w:space="0"/>
              </w:rPr>
              <w:t>应聘者签字：　 　　 　　　 时间：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left"/>
              <w:rPr>
                <w:i w:val="0"/>
                <w:iCs w:val="0"/>
              </w:rPr>
            </w:pPr>
            <w:r>
              <w:rPr>
                <w:i w:val="0"/>
                <w:iCs w:val="0"/>
                <w:bdr w:val="none" w:color="auto" w:sz="0" w:space="0"/>
              </w:rPr>
              <w:t> </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both"/>
        <w:rPr>
          <w:rFonts w:hint="eastAsia" w:ascii="微软雅黑" w:hAnsi="微软雅黑" w:eastAsia="微软雅黑" w:cs="微软雅黑"/>
          <w:i w:val="0"/>
          <w:iCs w:val="0"/>
          <w:caps w:val="0"/>
          <w:color w:val="5C5C5C"/>
          <w:spacing w:val="0"/>
          <w:sz w:val="21"/>
          <w:szCs w:val="21"/>
          <w:bdr w:val="none" w:color="auto" w:sz="0" w:space="0"/>
        </w:rPr>
      </w:pPr>
      <w:r>
        <w:rPr>
          <w:rFonts w:hint="eastAsia" w:ascii="微软雅黑" w:hAnsi="微软雅黑" w:eastAsia="微软雅黑" w:cs="微软雅黑"/>
          <w:i w:val="0"/>
          <w:iCs w:val="0"/>
          <w:caps w:val="0"/>
          <w:color w:val="5C5C5C"/>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both"/>
        <w:rPr>
          <w:rFonts w:hint="eastAsia" w:ascii="微软雅黑" w:hAnsi="微软雅黑" w:eastAsia="微软雅黑" w:cs="微软雅黑"/>
          <w:i w:val="0"/>
          <w:iCs w:val="0"/>
          <w:caps w:val="0"/>
          <w:color w:val="5C5C5C"/>
          <w:spacing w:val="0"/>
          <w:sz w:val="21"/>
          <w:szCs w:val="21"/>
          <w:bdr w:val="none" w:color="auto" w:sz="0" w:space="0"/>
        </w:rPr>
      </w:pPr>
      <w:r>
        <w:rPr>
          <w:rFonts w:hint="eastAsia" w:ascii="微软雅黑" w:hAnsi="微软雅黑" w:eastAsia="微软雅黑" w:cs="微软雅黑"/>
          <w:i w:val="0"/>
          <w:iCs w:val="0"/>
          <w:caps w:val="0"/>
          <w:color w:val="5C5C5C"/>
          <w:spacing w:val="0"/>
          <w:sz w:val="21"/>
          <w:szCs w:val="21"/>
          <w:bdr w:val="none" w:color="auto" w:sz="0" w:space="0"/>
        </w:rPr>
        <w:t>1.本表格电子版发送至公告中指定的邮箱。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both"/>
        <w:rPr>
          <w:i w:val="0"/>
          <w:iCs w:val="0"/>
        </w:rPr>
      </w:pPr>
      <w:r>
        <w:rPr>
          <w:rFonts w:hint="eastAsia" w:ascii="微软雅黑" w:hAnsi="微软雅黑" w:eastAsia="微软雅黑" w:cs="微软雅黑"/>
          <w:i w:val="0"/>
          <w:iCs w:val="0"/>
          <w:caps w:val="0"/>
          <w:color w:val="5C5C5C"/>
          <w:spacing w:val="0"/>
          <w:sz w:val="21"/>
          <w:szCs w:val="21"/>
          <w:bdr w:val="none" w:color="auto" w:sz="0" w:space="0"/>
        </w:rPr>
        <w:t> 2.现场确认时，提交纸质版一份（双面打印，本人现场签字确认）。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center"/>
        <w:rPr>
          <w:i w:val="0"/>
          <w:iCs w:val="0"/>
        </w:rPr>
      </w:pPr>
      <w:r>
        <w:rPr>
          <w:rFonts w:hint="eastAsia" w:ascii="微软雅黑" w:hAnsi="微软雅黑" w:eastAsia="微软雅黑" w:cs="微软雅黑"/>
          <w:i w:val="0"/>
          <w:iCs w:val="0"/>
          <w:caps w:val="0"/>
          <w:color w:val="5C5C5C"/>
          <w:spacing w:val="0"/>
          <w:sz w:val="21"/>
          <w:szCs w:val="21"/>
          <w:bdr w:val="none" w:color="auto" w:sz="0" w:space="0"/>
        </w:rPr>
        <w:t>2023年政和县“人才·校园行”教育人才引进岗位简章</w:t>
      </w:r>
    </w:p>
    <w:tbl>
      <w:tblPr>
        <w:tblW w:w="10650" w:type="dxa"/>
        <w:jc w:val="center"/>
        <w:tblCellSpacing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105"/>
        <w:gridCol w:w="479"/>
        <w:gridCol w:w="1060"/>
        <w:gridCol w:w="447"/>
        <w:gridCol w:w="447"/>
        <w:gridCol w:w="447"/>
        <w:gridCol w:w="447"/>
        <w:gridCol w:w="495"/>
        <w:gridCol w:w="718"/>
        <w:gridCol w:w="703"/>
        <w:gridCol w:w="1180"/>
        <w:gridCol w:w="2315"/>
        <w:gridCol w:w="8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9" w:hRule="atLeast"/>
          <w:tblCellSpacing w:w="0" w:type="dxa"/>
          <w:jc w:val="center"/>
        </w:trPr>
        <w:tc>
          <w:tcPr>
            <w:tcW w:w="11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ascii="黑体" w:hAnsi="宋体" w:eastAsia="黑体" w:cs="黑体"/>
                <w:i w:val="0"/>
                <w:iCs w:val="0"/>
                <w:sz w:val="20"/>
                <w:szCs w:val="20"/>
                <w:bdr w:val="none" w:color="auto" w:sz="0" w:space="0"/>
              </w:rPr>
              <w:t>单位名称</w:t>
            </w:r>
          </w:p>
        </w:tc>
        <w:tc>
          <w:tcPr>
            <w:tcW w:w="48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经费</w:t>
            </w:r>
            <w:r>
              <w:rPr>
                <w:rStyle w:val="5"/>
                <w:rFonts w:hint="eastAsia" w:ascii="黑体" w:hAnsi="宋体" w:eastAsia="黑体" w:cs="黑体"/>
                <w:i w:val="0"/>
                <w:iCs w:val="0"/>
                <w:sz w:val="20"/>
                <w:szCs w:val="20"/>
                <w:bdr w:val="none" w:color="auto" w:sz="0" w:space="0"/>
              </w:rPr>
              <w:br w:type="textWrapping"/>
            </w:r>
            <w:r>
              <w:rPr>
                <w:rStyle w:val="5"/>
                <w:rFonts w:hint="eastAsia" w:ascii="黑体" w:hAnsi="宋体" w:eastAsia="黑体" w:cs="黑体"/>
                <w:i w:val="0"/>
                <w:iCs w:val="0"/>
                <w:sz w:val="20"/>
                <w:szCs w:val="20"/>
                <w:bdr w:val="none" w:color="auto" w:sz="0" w:space="0"/>
              </w:rPr>
              <w:t>形式</w:t>
            </w:r>
          </w:p>
        </w:tc>
        <w:tc>
          <w:tcPr>
            <w:tcW w:w="106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岗位类</w:t>
            </w:r>
            <w:r>
              <w:rPr>
                <w:rStyle w:val="5"/>
                <w:rFonts w:hint="eastAsia" w:ascii="黑体" w:hAnsi="宋体" w:eastAsia="黑体" w:cs="黑体"/>
                <w:i w:val="0"/>
                <w:iCs w:val="0"/>
                <w:sz w:val="20"/>
                <w:szCs w:val="20"/>
                <w:bdr w:val="none" w:color="auto" w:sz="0" w:space="0"/>
              </w:rPr>
              <w:br w:type="textWrapping"/>
            </w:r>
            <w:r>
              <w:rPr>
                <w:rStyle w:val="5"/>
                <w:rFonts w:hint="eastAsia" w:ascii="黑体" w:hAnsi="宋体" w:eastAsia="黑体" w:cs="黑体"/>
                <w:i w:val="0"/>
                <w:iCs w:val="0"/>
                <w:sz w:val="20"/>
                <w:szCs w:val="20"/>
                <w:bdr w:val="none" w:color="auto" w:sz="0" w:space="0"/>
              </w:rPr>
              <w:t>别名称</w:t>
            </w:r>
          </w:p>
        </w:tc>
        <w:tc>
          <w:tcPr>
            <w:tcW w:w="36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招聘</w:t>
            </w:r>
            <w:r>
              <w:rPr>
                <w:rStyle w:val="5"/>
                <w:rFonts w:hint="eastAsia" w:ascii="黑体" w:hAnsi="宋体" w:eastAsia="黑体" w:cs="黑体"/>
                <w:i w:val="0"/>
                <w:iCs w:val="0"/>
                <w:sz w:val="20"/>
                <w:szCs w:val="20"/>
                <w:bdr w:val="none" w:color="auto" w:sz="0" w:space="0"/>
              </w:rPr>
              <w:br w:type="textWrapping"/>
            </w:r>
            <w:r>
              <w:rPr>
                <w:rStyle w:val="5"/>
                <w:rFonts w:hint="eastAsia" w:ascii="黑体" w:hAnsi="宋体" w:eastAsia="黑体" w:cs="黑体"/>
                <w:i w:val="0"/>
                <w:iCs w:val="0"/>
                <w:sz w:val="20"/>
                <w:szCs w:val="20"/>
                <w:bdr w:val="none" w:color="auto" w:sz="0" w:space="0"/>
              </w:rPr>
              <w:t>人数</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龄</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性别</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户籍</w:t>
            </w:r>
          </w:p>
        </w:tc>
        <w:tc>
          <w:tcPr>
            <w:tcW w:w="49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别</w:t>
            </w:r>
          </w:p>
        </w:tc>
        <w:tc>
          <w:tcPr>
            <w:tcW w:w="72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学历</w:t>
            </w:r>
          </w:p>
        </w:tc>
        <w:tc>
          <w:tcPr>
            <w:tcW w:w="70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学位</w:t>
            </w:r>
          </w:p>
        </w:tc>
        <w:tc>
          <w:tcPr>
            <w:tcW w:w="118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专业要求</w:t>
            </w:r>
          </w:p>
        </w:tc>
        <w:tc>
          <w:tcPr>
            <w:tcW w:w="232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其他条件</w:t>
            </w:r>
          </w:p>
        </w:tc>
        <w:tc>
          <w:tcPr>
            <w:tcW w:w="8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Style w:val="5"/>
                <w:rFonts w:hint="eastAsia" w:ascii="黑体" w:hAnsi="宋体" w:eastAsia="黑体" w:cs="黑体"/>
                <w:i w:val="0"/>
                <w:iCs w:val="0"/>
                <w:sz w:val="20"/>
                <w:szCs w:val="20"/>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551" w:hRule="atLeast"/>
          <w:tblCellSpacing w:w="0" w:type="dxa"/>
          <w:jc w:val="center"/>
        </w:trPr>
        <w:tc>
          <w:tcPr>
            <w:tcW w:w="11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 政和一中、</w:t>
            </w:r>
            <w:r>
              <w:rPr>
                <w:rFonts w:hint="eastAsia" w:ascii="宋体" w:hAnsi="宋体" w:eastAsia="宋体" w:cs="宋体"/>
                <w:i w:val="0"/>
                <w:iCs w:val="0"/>
                <w:sz w:val="20"/>
                <w:szCs w:val="20"/>
                <w:bdr w:val="none" w:color="auto" w:sz="0" w:space="0"/>
              </w:rPr>
              <w:br w:type="textWrapping"/>
            </w:r>
            <w:r>
              <w:rPr>
                <w:rFonts w:hint="eastAsia" w:ascii="宋体" w:hAnsi="宋体" w:eastAsia="宋体" w:cs="宋体"/>
                <w:i w:val="0"/>
                <w:iCs w:val="0"/>
                <w:sz w:val="20"/>
                <w:szCs w:val="20"/>
                <w:bdr w:val="none" w:color="auto" w:sz="0" w:space="0"/>
              </w:rPr>
              <w:t>政和二中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高中部</w:t>
            </w:r>
          </w:p>
        </w:tc>
        <w:tc>
          <w:tcPr>
            <w:tcW w:w="48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财政核拨</w:t>
            </w:r>
          </w:p>
        </w:tc>
        <w:tc>
          <w:tcPr>
            <w:tcW w:w="106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高中地理教师</w:t>
            </w:r>
          </w:p>
        </w:tc>
        <w:tc>
          <w:tcPr>
            <w:tcW w:w="36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2</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35</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9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限</w:t>
            </w:r>
          </w:p>
        </w:tc>
        <w:tc>
          <w:tcPr>
            <w:tcW w:w="72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本科及以上</w:t>
            </w:r>
          </w:p>
        </w:tc>
        <w:tc>
          <w:tcPr>
            <w:tcW w:w="70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学士及以上</w:t>
            </w:r>
          </w:p>
        </w:tc>
        <w:tc>
          <w:tcPr>
            <w:tcW w:w="118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 地理科学类、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地理教育</w:t>
            </w:r>
          </w:p>
        </w:tc>
        <w:tc>
          <w:tcPr>
            <w:tcW w:w="2325" w:type="dxa"/>
            <w:vMerge w:val="restart"/>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i w:val="0"/>
                <w:iCs w:val="0"/>
              </w:rPr>
            </w:pPr>
            <w:r>
              <w:rPr>
                <w:rFonts w:hint="eastAsia" w:ascii="宋体" w:hAnsi="宋体" w:eastAsia="宋体" w:cs="宋体"/>
                <w:i w:val="0"/>
                <w:iCs w:val="0"/>
                <w:sz w:val="20"/>
                <w:szCs w:val="20"/>
                <w:bdr w:val="none" w:color="auto" w:sz="0" w:space="0"/>
              </w:rPr>
              <w:t>1. “报考条件”详见《2023年政和县“人才</w:t>
            </w:r>
            <w:r>
              <w:rPr>
                <w:i w:val="0"/>
                <w:iCs w:val="0"/>
                <w:sz w:val="20"/>
                <w:szCs w:val="20"/>
                <w:bdr w:val="none" w:color="auto" w:sz="0" w:space="0"/>
              </w:rPr>
              <w:t>·</w:t>
            </w:r>
            <w:r>
              <w:rPr>
                <w:rFonts w:hint="eastAsia" w:ascii="宋体" w:hAnsi="宋体" w:eastAsia="宋体" w:cs="宋体"/>
                <w:i w:val="0"/>
                <w:iCs w:val="0"/>
                <w:sz w:val="20"/>
                <w:szCs w:val="20"/>
                <w:bdr w:val="none" w:color="auto" w:sz="0" w:space="0"/>
              </w:rPr>
              <w:t>校园行”教育人才引进公告》。</w:t>
            </w:r>
            <w:r>
              <w:rPr>
                <w:rFonts w:hint="eastAsia" w:ascii="宋体" w:hAnsi="宋体" w:eastAsia="宋体" w:cs="宋体"/>
                <w:i w:val="0"/>
                <w:iCs w:val="0"/>
                <w:sz w:val="20"/>
                <w:szCs w:val="20"/>
                <w:bdr w:val="none" w:color="auto" w:sz="0" w:space="0"/>
              </w:rPr>
              <w:br w:type="textWrapping"/>
            </w:r>
            <w:r>
              <w:rPr>
                <w:rFonts w:hint="eastAsia" w:ascii="宋体" w:hAnsi="宋体" w:eastAsia="宋体" w:cs="宋体"/>
                <w:i w:val="0"/>
                <w:iCs w:val="0"/>
                <w:sz w:val="20"/>
                <w:szCs w:val="20"/>
                <w:bdr w:val="none" w:color="auto" w:sz="0" w:space="0"/>
              </w:rPr>
              <w:t>2.师范类专业本科及以上学历学位，国家“双一流”大学（或原“985”、“211”高校）本科及以上学历学位的，可不限师范类专业。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rPr>
                <w:i w:val="0"/>
                <w:iCs w:val="0"/>
              </w:rPr>
            </w:pPr>
            <w:r>
              <w:rPr>
                <w:rFonts w:hint="eastAsia" w:ascii="宋体" w:hAnsi="宋体" w:eastAsia="宋体" w:cs="宋体"/>
                <w:i w:val="0"/>
                <w:iCs w:val="0"/>
                <w:sz w:val="20"/>
                <w:szCs w:val="20"/>
                <w:bdr w:val="none" w:color="auto" w:sz="0" w:space="0"/>
              </w:rPr>
              <w:t>4.专业对口，持有高中及以上相应学科教师资格证。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360" w:lineRule="atLeast"/>
              <w:ind w:left="0" w:right="0"/>
              <w:rPr>
                <w:i w:val="0"/>
                <w:iCs w:val="0"/>
              </w:rPr>
            </w:pPr>
            <w:r>
              <w:rPr>
                <w:i w:val="0"/>
                <w:iCs w:val="0"/>
                <w:bdr w:val="none" w:color="auto" w:sz="0" w:space="0"/>
              </w:rPr>
              <w:t> </w:t>
            </w:r>
          </w:p>
        </w:tc>
        <w:tc>
          <w:tcPr>
            <w:tcW w:w="8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一中1人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二中1人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42" w:hRule="atLeast"/>
          <w:tblCellSpacing w:w="0" w:type="dxa"/>
          <w:jc w:val="center"/>
        </w:trPr>
        <w:tc>
          <w:tcPr>
            <w:tcW w:w="11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政和二中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高中部</w:t>
            </w:r>
          </w:p>
        </w:tc>
        <w:tc>
          <w:tcPr>
            <w:tcW w:w="48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财政核拨</w:t>
            </w:r>
          </w:p>
        </w:tc>
        <w:tc>
          <w:tcPr>
            <w:tcW w:w="106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高中历史教师</w:t>
            </w:r>
          </w:p>
        </w:tc>
        <w:tc>
          <w:tcPr>
            <w:tcW w:w="36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1</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35</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9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限</w:t>
            </w:r>
          </w:p>
        </w:tc>
        <w:tc>
          <w:tcPr>
            <w:tcW w:w="72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本科及以上</w:t>
            </w:r>
          </w:p>
        </w:tc>
        <w:tc>
          <w:tcPr>
            <w:tcW w:w="70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学士及以上</w:t>
            </w:r>
          </w:p>
        </w:tc>
        <w:tc>
          <w:tcPr>
            <w:tcW w:w="118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历史学类、</w:t>
            </w:r>
            <w:r>
              <w:rPr>
                <w:rFonts w:hint="eastAsia" w:ascii="宋体" w:hAnsi="宋体" w:eastAsia="宋体" w:cs="宋体"/>
                <w:i w:val="0"/>
                <w:iCs w:val="0"/>
                <w:sz w:val="20"/>
                <w:szCs w:val="20"/>
                <w:bdr w:val="none" w:color="auto" w:sz="0" w:space="0"/>
              </w:rPr>
              <w:br w:type="textWrapping"/>
            </w:r>
            <w:r>
              <w:rPr>
                <w:rFonts w:hint="eastAsia" w:ascii="宋体" w:hAnsi="宋体" w:eastAsia="宋体" w:cs="宋体"/>
                <w:i w:val="0"/>
                <w:iCs w:val="0"/>
                <w:sz w:val="20"/>
                <w:szCs w:val="20"/>
                <w:bdr w:val="none" w:color="auto" w:sz="0" w:space="0"/>
              </w:rPr>
              <w:t>历史教育</w:t>
            </w:r>
          </w:p>
        </w:tc>
        <w:tc>
          <w:tcPr>
            <w:tcW w:w="2325" w:type="dxa"/>
            <w:vMerge w:val="continue"/>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rPr>
                <w:rFonts w:hint="eastAsia" w:ascii="宋体"/>
                <w:sz w:val="24"/>
                <w:szCs w:val="24"/>
              </w:rPr>
            </w:pPr>
          </w:p>
        </w:tc>
        <w:tc>
          <w:tcPr>
            <w:tcW w:w="8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二中1人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04" w:hRule="atLeast"/>
          <w:tblCellSpacing w:w="0" w:type="dxa"/>
          <w:jc w:val="center"/>
        </w:trPr>
        <w:tc>
          <w:tcPr>
            <w:tcW w:w="11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政和一中</w:t>
            </w:r>
          </w:p>
        </w:tc>
        <w:tc>
          <w:tcPr>
            <w:tcW w:w="48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财政核拨</w:t>
            </w:r>
          </w:p>
        </w:tc>
        <w:tc>
          <w:tcPr>
            <w:tcW w:w="106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高中生物教师</w:t>
            </w:r>
          </w:p>
        </w:tc>
        <w:tc>
          <w:tcPr>
            <w:tcW w:w="36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1</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35</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9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限</w:t>
            </w:r>
          </w:p>
        </w:tc>
        <w:tc>
          <w:tcPr>
            <w:tcW w:w="72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本科及以上</w:t>
            </w:r>
          </w:p>
        </w:tc>
        <w:tc>
          <w:tcPr>
            <w:tcW w:w="70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学士及以上</w:t>
            </w:r>
          </w:p>
        </w:tc>
        <w:tc>
          <w:tcPr>
            <w:tcW w:w="118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 生物科学类、</w:t>
            </w:r>
            <w:r>
              <w:rPr>
                <w:rFonts w:hint="eastAsia" w:ascii="宋体" w:hAnsi="宋体" w:eastAsia="宋体" w:cs="宋体"/>
                <w:i w:val="0"/>
                <w:iCs w:val="0"/>
                <w:sz w:val="20"/>
                <w:szCs w:val="20"/>
                <w:bdr w:val="none" w:color="auto" w:sz="0" w:space="0"/>
              </w:rPr>
              <w:br w:type="textWrapping"/>
            </w:r>
            <w:r>
              <w:rPr>
                <w:rFonts w:hint="eastAsia" w:ascii="宋体" w:hAnsi="宋体" w:eastAsia="宋体" w:cs="宋体"/>
                <w:i w:val="0"/>
                <w:iCs w:val="0"/>
                <w:sz w:val="20"/>
                <w:szCs w:val="20"/>
                <w:bdr w:val="none" w:color="auto" w:sz="0" w:space="0"/>
              </w:rPr>
              <w:t>生物教育</w:t>
            </w:r>
          </w:p>
        </w:tc>
        <w:tc>
          <w:tcPr>
            <w:tcW w:w="2325" w:type="dxa"/>
            <w:vMerge w:val="continue"/>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rPr>
                <w:rFonts w:hint="eastAsia" w:ascii="宋体"/>
                <w:sz w:val="24"/>
                <w:szCs w:val="24"/>
              </w:rPr>
            </w:pPr>
          </w:p>
        </w:tc>
        <w:tc>
          <w:tcPr>
            <w:tcW w:w="8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一中1人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2" w:hRule="atLeast"/>
          <w:tblCellSpacing w:w="0" w:type="dxa"/>
          <w:jc w:val="center"/>
        </w:trPr>
        <w:tc>
          <w:tcPr>
            <w:tcW w:w="11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政和一中</w:t>
            </w:r>
          </w:p>
        </w:tc>
        <w:tc>
          <w:tcPr>
            <w:tcW w:w="48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财政核拨</w:t>
            </w:r>
          </w:p>
        </w:tc>
        <w:tc>
          <w:tcPr>
            <w:tcW w:w="106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高中政治教师</w:t>
            </w:r>
          </w:p>
        </w:tc>
        <w:tc>
          <w:tcPr>
            <w:tcW w:w="36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1</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35</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9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限</w:t>
            </w:r>
          </w:p>
        </w:tc>
        <w:tc>
          <w:tcPr>
            <w:tcW w:w="72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本科及以上</w:t>
            </w:r>
          </w:p>
        </w:tc>
        <w:tc>
          <w:tcPr>
            <w:tcW w:w="70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学士及以上</w:t>
            </w:r>
          </w:p>
        </w:tc>
        <w:tc>
          <w:tcPr>
            <w:tcW w:w="118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政治学类</w:t>
            </w:r>
          </w:p>
        </w:tc>
        <w:tc>
          <w:tcPr>
            <w:tcW w:w="2325" w:type="dxa"/>
            <w:vMerge w:val="continue"/>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rPr>
                <w:rFonts w:hint="eastAsia" w:ascii="宋体"/>
                <w:sz w:val="24"/>
                <w:szCs w:val="24"/>
              </w:rPr>
            </w:pPr>
          </w:p>
        </w:tc>
        <w:tc>
          <w:tcPr>
            <w:tcW w:w="8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一中1人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4" w:hRule="atLeast"/>
          <w:tblCellSpacing w:w="0" w:type="dxa"/>
          <w:jc w:val="center"/>
        </w:trPr>
        <w:tc>
          <w:tcPr>
            <w:tcW w:w="11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 政和一中、</w:t>
            </w:r>
            <w:r>
              <w:rPr>
                <w:rFonts w:hint="eastAsia" w:ascii="宋体" w:hAnsi="宋体" w:eastAsia="宋体" w:cs="宋体"/>
                <w:i w:val="0"/>
                <w:iCs w:val="0"/>
                <w:sz w:val="20"/>
                <w:szCs w:val="20"/>
                <w:bdr w:val="none" w:color="auto" w:sz="0" w:space="0"/>
              </w:rPr>
              <w:br w:type="textWrapping"/>
            </w:r>
            <w:r>
              <w:rPr>
                <w:rFonts w:hint="eastAsia" w:ascii="宋体" w:hAnsi="宋体" w:eastAsia="宋体" w:cs="宋体"/>
                <w:i w:val="0"/>
                <w:iCs w:val="0"/>
                <w:sz w:val="20"/>
                <w:szCs w:val="20"/>
                <w:bdr w:val="none" w:color="auto" w:sz="0" w:space="0"/>
              </w:rPr>
              <w:t>政和二中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高中部</w:t>
            </w:r>
          </w:p>
        </w:tc>
        <w:tc>
          <w:tcPr>
            <w:tcW w:w="48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财政核拨</w:t>
            </w:r>
          </w:p>
        </w:tc>
        <w:tc>
          <w:tcPr>
            <w:tcW w:w="106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高中物理教师</w:t>
            </w:r>
          </w:p>
        </w:tc>
        <w:tc>
          <w:tcPr>
            <w:tcW w:w="36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2</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35</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9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限</w:t>
            </w:r>
          </w:p>
        </w:tc>
        <w:tc>
          <w:tcPr>
            <w:tcW w:w="72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本科及以上</w:t>
            </w:r>
          </w:p>
        </w:tc>
        <w:tc>
          <w:tcPr>
            <w:tcW w:w="70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学士及以上</w:t>
            </w:r>
          </w:p>
        </w:tc>
        <w:tc>
          <w:tcPr>
            <w:tcW w:w="118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 物理学类、</w:t>
            </w:r>
            <w:r>
              <w:rPr>
                <w:rFonts w:hint="eastAsia" w:ascii="宋体" w:hAnsi="宋体" w:eastAsia="宋体" w:cs="宋体"/>
                <w:i w:val="0"/>
                <w:iCs w:val="0"/>
                <w:sz w:val="20"/>
                <w:szCs w:val="20"/>
                <w:bdr w:val="none" w:color="auto" w:sz="0" w:space="0"/>
              </w:rPr>
              <w:br w:type="textWrapping"/>
            </w:r>
            <w:r>
              <w:rPr>
                <w:rFonts w:hint="eastAsia" w:ascii="宋体" w:hAnsi="宋体" w:eastAsia="宋体" w:cs="宋体"/>
                <w:i w:val="0"/>
                <w:iCs w:val="0"/>
                <w:sz w:val="20"/>
                <w:szCs w:val="20"/>
                <w:bdr w:val="none" w:color="auto" w:sz="0" w:space="0"/>
              </w:rPr>
              <w:t>物理教育</w:t>
            </w:r>
          </w:p>
        </w:tc>
        <w:tc>
          <w:tcPr>
            <w:tcW w:w="2325" w:type="dxa"/>
            <w:vMerge w:val="continue"/>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rPr>
                <w:rFonts w:hint="eastAsia" w:ascii="宋体"/>
                <w:sz w:val="24"/>
                <w:szCs w:val="24"/>
              </w:rPr>
            </w:pPr>
          </w:p>
        </w:tc>
        <w:tc>
          <w:tcPr>
            <w:tcW w:w="8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一中1人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二中1人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859" w:hRule="atLeast"/>
          <w:tblCellSpacing w:w="0" w:type="dxa"/>
          <w:jc w:val="center"/>
        </w:trPr>
        <w:tc>
          <w:tcPr>
            <w:tcW w:w="11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政和二中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高中部</w:t>
            </w:r>
          </w:p>
        </w:tc>
        <w:tc>
          <w:tcPr>
            <w:tcW w:w="48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财政核拨</w:t>
            </w:r>
          </w:p>
        </w:tc>
        <w:tc>
          <w:tcPr>
            <w:tcW w:w="106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高中信息</w:t>
            </w:r>
            <w:r>
              <w:rPr>
                <w:rFonts w:hint="eastAsia" w:ascii="宋体" w:hAnsi="宋体" w:eastAsia="宋体" w:cs="宋体"/>
                <w:i w:val="0"/>
                <w:iCs w:val="0"/>
                <w:sz w:val="20"/>
                <w:szCs w:val="20"/>
                <w:bdr w:val="none" w:color="auto" w:sz="0" w:space="0"/>
              </w:rPr>
              <w:br w:type="textWrapping"/>
            </w:r>
            <w:r>
              <w:rPr>
                <w:rFonts w:hint="eastAsia" w:ascii="宋体" w:hAnsi="宋体" w:eastAsia="宋体" w:cs="宋体"/>
                <w:i w:val="0"/>
                <w:iCs w:val="0"/>
                <w:sz w:val="20"/>
                <w:szCs w:val="20"/>
                <w:bdr w:val="none" w:color="auto" w:sz="0" w:space="0"/>
              </w:rPr>
              <w:t>技术教师</w:t>
            </w:r>
          </w:p>
        </w:tc>
        <w:tc>
          <w:tcPr>
            <w:tcW w:w="36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1</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35</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3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不限</w:t>
            </w:r>
          </w:p>
        </w:tc>
        <w:tc>
          <w:tcPr>
            <w:tcW w:w="49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限</w:t>
            </w:r>
          </w:p>
        </w:tc>
        <w:tc>
          <w:tcPr>
            <w:tcW w:w="72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本科及以上</w:t>
            </w:r>
          </w:p>
        </w:tc>
        <w:tc>
          <w:tcPr>
            <w:tcW w:w="70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学士及以上</w:t>
            </w:r>
          </w:p>
        </w:tc>
        <w:tc>
          <w:tcPr>
            <w:tcW w:w="1185"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计算机软件技术类、计算机网络技术类</w:t>
            </w:r>
          </w:p>
        </w:tc>
        <w:tc>
          <w:tcPr>
            <w:tcW w:w="2325" w:type="dxa"/>
            <w:vMerge w:val="continue"/>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rPr>
                <w:rFonts w:hint="eastAsia" w:ascii="宋体"/>
                <w:sz w:val="24"/>
                <w:szCs w:val="24"/>
              </w:rPr>
            </w:pPr>
          </w:p>
        </w:tc>
        <w:tc>
          <w:tcPr>
            <w:tcW w:w="810" w:type="dxa"/>
            <w:tcBorders>
              <w:top w:val="single" w:color="DCDCDC" w:sz="6" w:space="0"/>
              <w:left w:val="single" w:color="DCDCDC" w:sz="6" w:space="0"/>
              <w:bottom w:val="single" w:color="DCDCDC" w:sz="6" w:space="0"/>
              <w:right w:val="single" w:color="DCDCDC" w:sz="6" w:space="0"/>
            </w:tcBorders>
            <w:shd w:val="clear"/>
            <w:tcMar>
              <w:top w:w="0" w:type="dxa"/>
              <w:left w:w="108" w:type="dxa"/>
              <w:bottom w:w="0" w:type="dxa"/>
              <w:right w:w="108"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i w:val="0"/>
                <w:iCs w:val="0"/>
              </w:rPr>
            </w:pPr>
            <w:r>
              <w:rPr>
                <w:rFonts w:hint="eastAsia" w:ascii="宋体" w:hAnsi="宋体" w:eastAsia="宋体" w:cs="宋体"/>
                <w:i w:val="0"/>
                <w:iCs w:val="0"/>
                <w:sz w:val="20"/>
                <w:szCs w:val="20"/>
                <w:bdr w:val="none" w:color="auto" w:sz="0" w:space="0"/>
              </w:rPr>
              <w:t>二中1人</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rFonts w:hint="eastAsia" w:ascii="微软雅黑" w:hAnsi="微软雅黑" w:eastAsia="微软雅黑" w:cs="微软雅黑"/>
          <w:i w:val="0"/>
          <w:iCs w:val="0"/>
          <w:caps w:val="0"/>
          <w:color w:val="5C5C5C"/>
          <w:spacing w:val="0"/>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center"/>
        <w:rPr>
          <w:i w:val="0"/>
          <w:iCs w:val="0"/>
        </w:rPr>
      </w:pPr>
      <w:r>
        <w:rPr>
          <w:rFonts w:hint="eastAsia" w:ascii="微软雅黑" w:hAnsi="微软雅黑" w:eastAsia="微软雅黑" w:cs="微软雅黑"/>
          <w:i w:val="0"/>
          <w:iCs w:val="0"/>
          <w:caps w:val="0"/>
          <w:color w:val="5C5C5C"/>
          <w:spacing w:val="0"/>
          <w:sz w:val="21"/>
          <w:szCs w:val="21"/>
          <w:bdr w:val="none" w:color="auto" w:sz="0" w:space="0"/>
        </w:rPr>
        <w:t>中共政和县委政和县人民政府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center"/>
        <w:rPr>
          <w:i w:val="0"/>
          <w:iCs w:val="0"/>
        </w:rPr>
      </w:pPr>
      <w:r>
        <w:rPr>
          <w:rFonts w:hint="eastAsia" w:ascii="微软雅黑" w:hAnsi="微软雅黑" w:eastAsia="微软雅黑" w:cs="微软雅黑"/>
          <w:i w:val="0"/>
          <w:iCs w:val="0"/>
          <w:caps w:val="0"/>
          <w:color w:val="5C5C5C"/>
          <w:spacing w:val="0"/>
          <w:sz w:val="21"/>
          <w:szCs w:val="21"/>
          <w:bdr w:val="none" w:color="auto" w:sz="0" w:space="0"/>
        </w:rPr>
        <w:t>关于印发政和县教育人才引进方案的通知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center"/>
        <w:rPr>
          <w:i w:val="0"/>
          <w:iCs w:val="0"/>
        </w:rPr>
      </w:pPr>
      <w:r>
        <w:rPr>
          <w:rFonts w:hint="eastAsia" w:ascii="微软雅黑" w:hAnsi="微软雅黑" w:eastAsia="微软雅黑" w:cs="微软雅黑"/>
          <w:i w:val="0"/>
          <w:iCs w:val="0"/>
          <w:caps w:val="0"/>
          <w:color w:val="5C5C5C"/>
          <w:spacing w:val="0"/>
          <w:sz w:val="21"/>
          <w:szCs w:val="21"/>
          <w:bdr w:val="none" w:color="auto" w:sz="0" w:space="0"/>
        </w:rPr>
        <w:t>（政委发〔2019〕10号）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各乡（镇）党委、人民政府，熊山街道党工委、办事处，县直有关单位：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《政和县教育人才引进方案》已经县委、县政府研究同意，现印发给你们，请认真贯彻执行。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right"/>
        <w:rPr>
          <w:i w:val="0"/>
          <w:iCs w:val="0"/>
        </w:rPr>
      </w:pPr>
      <w:r>
        <w:rPr>
          <w:rFonts w:hint="eastAsia" w:ascii="微软雅黑" w:hAnsi="微软雅黑" w:eastAsia="微软雅黑" w:cs="微软雅黑"/>
          <w:i w:val="0"/>
          <w:iCs w:val="0"/>
          <w:caps w:val="0"/>
          <w:color w:val="5C5C5C"/>
          <w:spacing w:val="0"/>
          <w:sz w:val="21"/>
          <w:szCs w:val="21"/>
          <w:bdr w:val="none" w:color="auto" w:sz="0" w:space="0"/>
        </w:rPr>
        <w:t>中共政和县委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right"/>
        <w:rPr>
          <w:i w:val="0"/>
          <w:iCs w:val="0"/>
        </w:rPr>
      </w:pPr>
      <w:r>
        <w:rPr>
          <w:rFonts w:hint="eastAsia" w:ascii="微软雅黑" w:hAnsi="微软雅黑" w:eastAsia="微软雅黑" w:cs="微软雅黑"/>
          <w:i w:val="0"/>
          <w:iCs w:val="0"/>
          <w:caps w:val="0"/>
          <w:color w:val="5C5C5C"/>
          <w:spacing w:val="0"/>
          <w:sz w:val="21"/>
          <w:szCs w:val="21"/>
          <w:bdr w:val="none" w:color="auto" w:sz="0" w:space="0"/>
        </w:rPr>
        <w:t>政和县人民政府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right"/>
        <w:rPr>
          <w:i w:val="0"/>
          <w:iCs w:val="0"/>
        </w:rPr>
      </w:pPr>
      <w:r>
        <w:rPr>
          <w:rFonts w:hint="eastAsia" w:ascii="微软雅黑" w:hAnsi="微软雅黑" w:eastAsia="微软雅黑" w:cs="微软雅黑"/>
          <w:i w:val="0"/>
          <w:iCs w:val="0"/>
          <w:caps w:val="0"/>
          <w:color w:val="5C5C5C"/>
          <w:spacing w:val="0"/>
          <w:sz w:val="21"/>
          <w:szCs w:val="21"/>
          <w:bdr w:val="none" w:color="auto" w:sz="0" w:space="0"/>
        </w:rPr>
        <w:t>　　　　　　　　　　　　　 2019年11月25日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center"/>
        <w:rPr>
          <w:i w:val="0"/>
          <w:iCs w:val="0"/>
        </w:rPr>
      </w:pPr>
      <w:r>
        <w:rPr>
          <w:rFonts w:hint="eastAsia" w:ascii="微软雅黑" w:hAnsi="微软雅黑" w:eastAsia="微软雅黑" w:cs="微软雅黑"/>
          <w:i w:val="0"/>
          <w:iCs w:val="0"/>
          <w:caps w:val="0"/>
          <w:color w:val="5C5C5C"/>
          <w:spacing w:val="0"/>
          <w:sz w:val="21"/>
          <w:szCs w:val="21"/>
          <w:bdr w:val="none" w:color="auto" w:sz="0" w:space="0"/>
        </w:rPr>
        <w:t>政和县教育人才引进方案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根据省委《关于深化人才发展体制机制改革的实施意见》(闽委发〔2016〕9号文)《福建省关心关爱基层干部二十条措施》和南平市委《关于进一步激发本土人才干事创业活力的二十条措施》等文件精神，现制定方案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Style w:val="5"/>
          <w:rFonts w:hint="eastAsia" w:ascii="微软雅黑" w:hAnsi="微软雅黑" w:eastAsia="微软雅黑" w:cs="微软雅黑"/>
          <w:i w:val="0"/>
          <w:iCs w:val="0"/>
          <w:caps w:val="0"/>
          <w:color w:val="002060"/>
          <w:spacing w:val="0"/>
          <w:sz w:val="21"/>
          <w:szCs w:val="21"/>
          <w:bdr w:val="none" w:color="auto" w:sz="0" w:space="0"/>
        </w:rPr>
        <w:t>一、指导思想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深入贯彻落实习近平总书记关于人才工作的指示精神，牢固树立“人才是第一资源”的理念，坚持“服务发展、人才优先、以用为本、创新机制、高端引领”的方针，着力创新人才机制体制，加大人才资金投入，优化人才发展环境，充分发挥人才作用，力争通过5年努力，培养和造就一支数量比较充足、结构比较优化、素质比较优良的教育人才队伍，为办好人民满意的教育提供强有力的人才支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Style w:val="5"/>
          <w:rFonts w:hint="eastAsia" w:ascii="微软雅黑" w:hAnsi="微软雅黑" w:eastAsia="微软雅黑" w:cs="微软雅黑"/>
          <w:i w:val="0"/>
          <w:iCs w:val="0"/>
          <w:caps w:val="0"/>
          <w:color w:val="002060"/>
          <w:spacing w:val="0"/>
          <w:sz w:val="21"/>
          <w:szCs w:val="21"/>
          <w:bdr w:val="none" w:color="auto" w:sz="0" w:space="0"/>
        </w:rPr>
        <w:t>二、引进类别与条件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一）紧缺学科人才引进。根据中小学学科结构情况，每年按照需求引进教育部直属师范大学和“双一流”大学（含原“985”“211”院校，下同）师范类高校全日制本科及以上毕业生；近5年内“双一流”大学毕业，未在政和区域工作过，且从事教育工作的师范类专业本科毕业生和研究生；福建师范大学全日制师范类本科及以上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（二）教育高级人才引进。引进近5年未在政和县行政区域内就业过的特级教师、省杰出人民教师、正高级教师、省名校长、省学科带头人。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（三）免费师范本科生委培。南平市指定武夷学院定向培训，招生对象为参加普通高考、户籍在政和县并在当地报考的高中毕业生。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Style w:val="5"/>
          <w:rFonts w:hint="eastAsia" w:ascii="微软雅黑" w:hAnsi="微软雅黑" w:eastAsia="微软雅黑" w:cs="微软雅黑"/>
          <w:i w:val="0"/>
          <w:iCs w:val="0"/>
          <w:caps w:val="0"/>
          <w:color w:val="002060"/>
          <w:spacing w:val="0"/>
          <w:sz w:val="21"/>
          <w:szCs w:val="21"/>
          <w:bdr w:val="none" w:color="auto" w:sz="0" w:space="0"/>
        </w:rPr>
        <w:t>三、引进程序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（一）发布招聘信息公告。通过各高校校内就业信息网站、政和县政府网站等平台发布招聘公告。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（二）政策宣讲。公告发布后，政和县教育局成立招聘小组适时前往相关高校进行政策宣讲。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（三）网上招聘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1.报名。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2.资格审核。根据网上报名者提供的资料进行资格审查，筛选简历。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3.面试+考核。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4.公示。符合条件的在政和县人民政府网站公示五个工作日，接受群众监督。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5.体检。安排拟录用人员进行体检。未按时参加或体检不合格的，不得入职。体检标准参照《公务员录用体检通用标准（试行）》。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6.聘用。经公示无异议，体检合格的，由政和县教育局及相关单位统一办理相关聘用手续。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Style w:val="5"/>
          <w:rFonts w:hint="eastAsia" w:ascii="微软雅黑" w:hAnsi="微软雅黑" w:eastAsia="微软雅黑" w:cs="微软雅黑"/>
          <w:i w:val="0"/>
          <w:iCs w:val="0"/>
          <w:caps w:val="0"/>
          <w:color w:val="002060"/>
          <w:spacing w:val="0"/>
          <w:sz w:val="21"/>
          <w:szCs w:val="21"/>
          <w:bdr w:val="none" w:color="auto" w:sz="0" w:space="0"/>
        </w:rPr>
        <w:t>四、支持政策。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（一）一次性奖励。对引进的紧缺学科人才、教育高级人才按本科、硕士研究生、博士研究生（包含教育高级人才）分别一次性奖励2万元、5万元、10万元。服务期未满5年的，应予以退还。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（二）薪酬待遇。引进的紧缺学科人才、教育高级人才，除享受事业单位同等条件人员工资、福利待遇以外，招聘5年内，由县财政给予本科生、硕士研究生、博士研究生、教育高级人才每人每月1000元、 2000 元、4000元、5000元生活补助。符合《关于福建省引进人才生活津贴与住房补贴发放办法的通知》（闽人社发〔2017〕74号）政策精神，引进5年内，同时享受省级财政支付的生活补贴2000元/月。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根据南平市人才引进政策，全日制师范类本科生到我县乡镇中小学工作满5年的，享受10万元安家补助（第一年3万元、第三年3万元、第五年4万元）。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到我县中小学实习的紧缺急需专业全日制师范类本科在校大学生给予一次性补助费1500元/人，并根据时长给予不超过6个月（不足6个月的按实际实习时间）的生活补助，发放标准是：第一个月，按1500元/人；第二个月，按2000元/人；第三至第六个月，按2500元/人发放；同时为实习大学生购买不低于100元/人的人身意外伤害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定向委培的免费师范生在校期间免缴学费、住宿费，属于建档立卡贫困户子女的，另给予每学年生活补助费3500元/人。委培师范生毕业后，按规定履行任教协议的，除享受用人单位同级别工资、福利待遇外，正式工作5年（60个月）内，在农村学校任教可享受不低于500元/月的生活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（三）住房保障。对引进的紧缺学科人才、教育高级人才，按实际情况要求可免费入住人才公寓房5年，全日制本科生硕士、博士研究生（教育高级人才），分别享受40 m²、60 m²、80m²的人才公寓房。入住者每人每月缴纳物业管理费100元（包含物业、网络费用），水电费自行缴纳。享受期间，在工作所在地购买并取得商品住房、社会保障性住房等不动产权的，从次月起终止享受。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对在政和县中小学连续工作满5年的，经教师年度考核达到合格等次以上者予以重奖。全日制本科生、硕士研究生、博士研究生（教育高级人才）分别奖励40 m²、60 m²和80m²的人才房，或本科生25万、硕士35万元、博士或教育高级人才45万元的购房补助。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（四）面试差旅补贴。对从县外来政和参加紧缺学科、教育高级人才面试的，南平地区范围内500元/人次，南平地区范围外、福建省内800元/人次，福建省外1500元/人次。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（五）职称评审待遇。对我县引进的教育人才，博士研究生试用期满的、硕士研究生工作满3年的、本科生工作满6年的，可直接确认中级职称。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Style w:val="5"/>
          <w:rFonts w:hint="eastAsia" w:ascii="微软雅黑" w:hAnsi="微软雅黑" w:eastAsia="微软雅黑" w:cs="微软雅黑"/>
          <w:i w:val="0"/>
          <w:iCs w:val="0"/>
          <w:caps w:val="0"/>
          <w:color w:val="002060"/>
          <w:spacing w:val="0"/>
          <w:sz w:val="21"/>
          <w:szCs w:val="21"/>
          <w:bdr w:val="none" w:color="auto" w:sz="0" w:space="0"/>
        </w:rPr>
        <w:t>五、服务保障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（一）聘用手续办理。对引进的教育人才，由用人单位与其签订事业单位聘任合同，办理相关聘用手续。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二）妥善解决人才居住落户。凡引进的人才，可根据本人意愿，在相应的居住地址、投靠地址或中心城区相关社区居委会申请落户。经公安派出所调查核实，由县公安机关户政管理部门核准后，按家庭户办理，其共同居住生活的配偶、子女、父母均可随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三）优先解决人才家属就业和子女就学。凡引进的人才，其配偶可对口随调。配偶及其子女未就业的，由用人单位会同人社等有关部门推荐就业。符合事业单位招聘条件的，设置专项岗位招聘。引进人才的未成年子女入学入托，需要在义务教育阶段和公办幼儿园就读的，可按本人意愿就近选择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四）加强引进人才医疗保障。积极为引进人才提供多层次、多样化的优质医疗卫生服务。引进的教育人才在服务期内，由引进单位每年至少组织一次健康体检，建立人才健康档案，并给予办理年保额不超过20万元的二级医疗补充保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五）加强人文关怀。对于长期在基层一线工作且成绩优异的引进人才，开展优秀人才及生活困难人才慰问活动。对政和教育事业发展做出重要贡献的，符合相关条件的，积极推荐为各级人大代表、政协委员或劳动模范建议人选，优先安排培训深造，使各类人才安心工作，建功立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以上事项的相关手续，由县委人才办、县委编办、县教育局、县人社局、县财政局、县公安局、县住建局、县卫健局等部门通力协作，本着简便高效原则，做到一次性办结。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一、教育部直属师范院校(6所)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北京师范大学、东北师范大学、华东师范大学、华中师范大学、西南大学(原西南师范大学)和陕西师范大学。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二、“双一流”师范类高校（原“985”“211”高校）(9所)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1.原“985”高校(2所)：北京师范大学、华东师范大学；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2.原“211”高校(7所)：东北师范大学、南京师范大学、华中师范大学、华南师范大学、陕西师范大学、湖南师范大学、西南大学(原西南师范大学)。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r>
        <w:rPr>
          <w:rFonts w:hint="eastAsia" w:ascii="微软雅黑" w:hAnsi="微软雅黑" w:eastAsia="微软雅黑" w:cs="微软雅黑"/>
          <w:i w:val="0"/>
          <w:iCs w:val="0"/>
          <w:caps w:val="0"/>
          <w:color w:val="5C5C5C"/>
          <w:spacing w:val="0"/>
          <w:sz w:val="21"/>
          <w:szCs w:val="21"/>
          <w:bdr w:val="none" w:color="auto" w:sz="0" w:space="0"/>
        </w:rPr>
        <w:t>抄送：县委办、县政府办、县委宣传部、县人大教科文卫委、县政协教科卫体委。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rPr>
          <w:i w:val="0"/>
          <w:iCs w:val="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right"/>
        <w:rPr>
          <w:i w:val="0"/>
          <w:iCs w:val="0"/>
        </w:rPr>
      </w:pPr>
      <w:r>
        <w:rPr>
          <w:rFonts w:hint="eastAsia" w:ascii="微软雅黑" w:hAnsi="微软雅黑" w:eastAsia="微软雅黑" w:cs="微软雅黑"/>
          <w:i w:val="0"/>
          <w:iCs w:val="0"/>
          <w:caps w:val="0"/>
          <w:color w:val="5C5C5C"/>
          <w:spacing w:val="0"/>
          <w:sz w:val="21"/>
          <w:szCs w:val="21"/>
          <w:bdr w:val="none" w:color="auto" w:sz="0" w:space="0"/>
        </w:rPr>
        <w:t>政和县教育局办公室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300" w:beforeAutospacing="0" w:after="300" w:afterAutospacing="0" w:line="450" w:lineRule="atLeast"/>
        <w:ind w:left="0" w:right="0"/>
        <w:jc w:val="right"/>
      </w:pPr>
      <w:r>
        <w:rPr>
          <w:rFonts w:hint="eastAsia" w:ascii="微软雅黑" w:hAnsi="微软雅黑" w:eastAsia="微软雅黑" w:cs="微软雅黑"/>
          <w:i w:val="0"/>
          <w:iCs w:val="0"/>
          <w:caps w:val="0"/>
          <w:color w:val="5C5C5C"/>
          <w:spacing w:val="0"/>
          <w:sz w:val="21"/>
          <w:szCs w:val="21"/>
          <w:bdr w:val="none" w:color="auto" w:sz="0" w:space="0"/>
        </w:rPr>
        <w:t>2022年12月30日印发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Symbol">
    <w:panose1 w:val="050501020107060205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jNDQ2MmVmOGMzOTQ3MzQ4NWYyY2VkY2Q1ZTBjNDUifQ=="/>
  </w:docVars>
  <w:rsids>
    <w:rsidRoot w:val="45DB4AD5"/>
    <w:rsid w:val="45DB4A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349</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2023-01-03T03:22:00Z</dcterms:created>
  <dc:creator>chenxi</dc:creator>
  <cp:lastModifiedBy>chenxi</cp:lastModifiedBy>
  <dcterms:modified xsi:type="dcterms:W3CDTF">2023-01-03T09:15:48Z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0ED6DD27BAED4C3498B0EC6B0EE5246C</vt:lpwstr>
  </property>
</Properties>
</file>