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农村学校上交报考材料及审核时间安排表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6"/>
        <w:gridCol w:w="2476"/>
        <w:gridCol w:w="38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3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40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drawing>
                <wp:inline distT="0" distB="0" distL="114300" distR="114300">
                  <wp:extent cx="590550" cy="819150"/>
                  <wp:effectExtent l="0" t="0" r="0" b="0"/>
                  <wp:docPr id="1" name="图片 1" descr="关于选调农村学校教师进城任教的通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关于选调农村学校教师进城任教的通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 　 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drawing>
                <wp:inline distT="0" distB="0" distL="114300" distR="114300">
                  <wp:extent cx="933450" cy="523875"/>
                  <wp:effectExtent l="0" t="0" r="0" b="0"/>
                  <wp:docPr id="2" name="图片 2" descr="关于选调农村学校教师进城任教的通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关于选调农村学校教师进城任教的通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校 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日期</w:t>
            </w:r>
          </w:p>
        </w:tc>
        <w:tc>
          <w:tcPr>
            <w:tcW w:w="2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上午</w:t>
            </w:r>
          </w:p>
        </w:tc>
        <w:tc>
          <w:tcPr>
            <w:tcW w:w="45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4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西芹中小学、塔前中小学、来舟中心小学、大横中小学</w:t>
            </w:r>
          </w:p>
        </w:tc>
        <w:tc>
          <w:tcPr>
            <w:tcW w:w="45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南山中心小学、王台中小学、峡阳中小学、茫荡中心小学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5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夏道中小学、炉下中小学、太平中小学、樟湖中小学</w:t>
            </w:r>
          </w:p>
        </w:tc>
        <w:tc>
          <w:tcPr>
            <w:tcW w:w="45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老区中学、赤门学校、巨口学校、洋后学校、东坑中心小学村完小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6"/>
          <w:sz w:val="28"/>
          <w:szCs w:val="28"/>
          <w:bdr w:val="none" w:color="auto" w:sz="0" w:space="0"/>
          <w:shd w:val="clear" w:fill="FFFFFF"/>
        </w:rPr>
        <w:t>备注：每位报考教师需打印报名表上交一份给学校(备注栏上注明“选调”)，学校将报名表收齐后资格审核时上交区教育局人事股。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87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南平市延平区教育局办公室 　　　　　　　 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2023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日印发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  <w:u w:val="singl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DA55557"/>
    <w:rsid w:val="5DA5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2023-03-24T01:45:00Z</dcterms:created>
  <dc:creator>huatu</dc:creator>
  <cp:lastModifiedBy>huatu</cp:lastModifiedBy>
  <dcterms:modified xsi:type="dcterms:W3CDTF">2023-03-24T01:46:05Z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1DDACEB2147D4135AB146C9C962B4975</vt:lpwstr>
  </property>
</Properties>
</file>