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池州学院教学科研岗无生授课试讲范围</w:t>
      </w:r>
    </w:p>
    <w:p>
      <w:pPr>
        <w:spacing w:line="360" w:lineRule="auto"/>
        <w:jc w:val="center"/>
        <w:rPr>
          <w:rFonts w:hint="eastAsia" w:ascii="仿宋" w:hAnsi="仿宋" w:eastAsia="仿宋" w:cs="仿宋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（按岗位代码排序）</w:t>
      </w:r>
    </w:p>
    <w:p>
      <w:pPr>
        <w:spacing w:line="360" w:lineRule="auto"/>
        <w:ind w:firstLine="600" w:firstLineChars="2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（地理与规划）学院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 xml:space="preserve"> 岗位（20230101）无生授课试讲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土地管理学概论</w:t>
      </w:r>
      <w:r>
        <w:rPr>
          <w:rFonts w:hint="eastAsia" w:ascii="仿宋_GB2312" w:eastAsia="仿宋_GB2312"/>
          <w:sz w:val="30"/>
          <w:szCs w:val="30"/>
          <w:u w:val="none"/>
        </w:rPr>
        <w:t>》, 参考教材为《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土地管理学总论</w:t>
      </w:r>
      <w:r>
        <w:rPr>
          <w:rFonts w:hint="eastAsia" w:ascii="仿宋_GB2312" w:eastAsia="仿宋_GB2312"/>
          <w:sz w:val="30"/>
          <w:szCs w:val="30"/>
          <w:u w:val="none"/>
        </w:rPr>
        <w:t>》（第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六</w:t>
      </w:r>
      <w:r>
        <w:rPr>
          <w:rFonts w:hint="eastAsia" w:ascii="仿宋_GB2312" w:eastAsia="仿宋_GB2312"/>
          <w:sz w:val="30"/>
          <w:szCs w:val="30"/>
          <w:u w:val="none"/>
        </w:rPr>
        <w:t>版），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陆红生</w:t>
      </w:r>
      <w:r>
        <w:rPr>
          <w:rFonts w:hint="eastAsia" w:ascii="仿宋_GB2312" w:eastAsia="仿宋_GB2312"/>
          <w:sz w:val="30"/>
          <w:szCs w:val="30"/>
          <w:u w:val="none"/>
        </w:rPr>
        <w:t>著，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中国农业</w:t>
      </w:r>
      <w:r>
        <w:rPr>
          <w:rFonts w:hint="eastAsia" w:ascii="仿宋_GB2312" w:eastAsia="仿宋_GB2312"/>
          <w:sz w:val="30"/>
          <w:szCs w:val="30"/>
          <w:u w:val="none"/>
        </w:rPr>
        <w:t>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土地、人口、环境与可持续发展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地籍管理概论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土地制度与土地产权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tabs>
          <w:tab w:val="left" w:pos="5473"/>
        </w:tabs>
        <w:spacing w:line="360" w:lineRule="auto"/>
        <w:ind w:firstLine="300" w:firstLineChars="100"/>
        <w:jc w:val="center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br w:type="page"/>
      </w:r>
    </w:p>
    <w:p>
      <w:pPr>
        <w:spacing w:line="360" w:lineRule="auto"/>
        <w:ind w:firstLine="600" w:firstLineChars="2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（地理与规划）学院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 xml:space="preserve"> 岗位（20230103）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中国地理</w:t>
      </w:r>
      <w:r>
        <w:rPr>
          <w:rFonts w:hint="eastAsia" w:ascii="仿宋_GB2312" w:eastAsia="仿宋_GB2312"/>
          <w:sz w:val="30"/>
          <w:szCs w:val="30"/>
          <w:u w:val="none"/>
        </w:rPr>
        <w:t>》, 参考教材为《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中国地理</w:t>
      </w:r>
      <w:r>
        <w:rPr>
          <w:rFonts w:hint="eastAsia" w:ascii="仿宋_GB2312" w:eastAsia="仿宋_GB2312"/>
          <w:sz w:val="30"/>
          <w:szCs w:val="30"/>
          <w:u w:val="none"/>
        </w:rPr>
        <w:t>》（第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二</w:t>
      </w:r>
      <w:r>
        <w:rPr>
          <w:rFonts w:hint="eastAsia" w:ascii="仿宋_GB2312" w:eastAsia="仿宋_GB2312"/>
          <w:sz w:val="30"/>
          <w:szCs w:val="30"/>
          <w:u w:val="none"/>
        </w:rPr>
        <w:t>版），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赵济，王静爱，朱华晟</w:t>
      </w:r>
      <w:r>
        <w:rPr>
          <w:rFonts w:hint="eastAsia" w:ascii="仿宋_GB2312" w:eastAsia="仿宋_GB2312"/>
          <w:sz w:val="30"/>
          <w:szCs w:val="30"/>
          <w:u w:val="none"/>
        </w:rPr>
        <w:t>著，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高等教育</w:t>
      </w:r>
      <w:r>
        <w:rPr>
          <w:rFonts w:hint="eastAsia" w:ascii="仿宋_GB2312" w:eastAsia="仿宋_GB2312"/>
          <w:sz w:val="30"/>
          <w:szCs w:val="30"/>
          <w:u w:val="none"/>
        </w:rPr>
        <w:t>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中国的地理特征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中国的自然灾害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长江三角洲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 </w:t>
      </w: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ind w:firstLine="600" w:firstLineChars="2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（地理与规划）学院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 xml:space="preserve"> 岗位（20230104）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城市规划原理</w:t>
      </w:r>
      <w:r>
        <w:rPr>
          <w:rFonts w:hint="eastAsia" w:ascii="仿宋_GB2312" w:eastAsia="仿宋_GB2312"/>
          <w:sz w:val="30"/>
          <w:szCs w:val="30"/>
          <w:u w:val="none"/>
        </w:rPr>
        <w:t>》, 参考教材为《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城市规划原理</w:t>
      </w:r>
      <w:r>
        <w:rPr>
          <w:rFonts w:hint="eastAsia" w:ascii="仿宋_GB2312" w:eastAsia="仿宋_GB2312"/>
          <w:sz w:val="30"/>
          <w:szCs w:val="30"/>
          <w:u w:val="none"/>
        </w:rPr>
        <w:t>》（第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四</w:t>
      </w:r>
      <w:r>
        <w:rPr>
          <w:rFonts w:hint="eastAsia" w:ascii="仿宋_GB2312" w:eastAsia="仿宋_GB2312"/>
          <w:sz w:val="30"/>
          <w:szCs w:val="30"/>
          <w:u w:val="none"/>
        </w:rPr>
        <w:t>版），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吴志强，李德华主编</w:t>
      </w:r>
      <w:r>
        <w:rPr>
          <w:rFonts w:hint="eastAsia" w:ascii="仿宋_GB2312" w:eastAsia="仿宋_GB2312"/>
          <w:sz w:val="30"/>
          <w:szCs w:val="30"/>
          <w:u w:val="none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中国建筑工业</w:t>
      </w:r>
      <w:r>
        <w:rPr>
          <w:rFonts w:hint="eastAsia" w:ascii="仿宋_GB2312" w:eastAsia="仿宋_GB2312"/>
          <w:sz w:val="30"/>
          <w:szCs w:val="30"/>
          <w:u w:val="none"/>
        </w:rPr>
        <w:t>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住区的规划设计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区域规划的新类型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城市总体布局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jc w:val="center"/>
        <w:rPr>
          <w:rFonts w:ascii="黑体" w:hAnsi="黑体" w:eastAsia="黑体" w:cs="黑体"/>
          <w:sz w:val="30"/>
          <w:szCs w:val="30"/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商</w:t>
      </w:r>
      <w:r>
        <w:rPr>
          <w:rFonts w:hint="eastAsia" w:ascii="黑体" w:hAnsi="黑体" w:eastAsia="黑体" w:cs="黑体"/>
          <w:sz w:val="30"/>
          <w:szCs w:val="30"/>
          <w:u w:val="none"/>
        </w:rPr>
        <w:t>学院  （</w:t>
      </w:r>
      <w:r>
        <w:rPr>
          <w:rFonts w:ascii="黑体" w:hAnsi="黑体" w:eastAsia="黑体" w:cs="黑体"/>
          <w:sz w:val="30"/>
          <w:szCs w:val="30"/>
          <w:u w:val="none"/>
        </w:rPr>
        <w:t>20230106</w:t>
      </w:r>
      <w:r>
        <w:rPr>
          <w:rFonts w:hint="eastAsia" w:ascii="黑体" w:hAnsi="黑体" w:eastAsia="黑体" w:cs="黑体"/>
          <w:sz w:val="30"/>
          <w:szCs w:val="30"/>
          <w:u w:val="none"/>
        </w:rPr>
        <w:t>）岗位 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试讲的科目为《电子商务网站建设与管理》, 参考教材为《PHP从入门到精通》（第六版），明日科技主编 清华大学出版社。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内容一：PHP常用开发工具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内容二：PHP的POSIX和PCRE函数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内容三：PHP访问、连接MYSQL数据库的方法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spacing w:line="360" w:lineRule="auto"/>
        <w:jc w:val="center"/>
        <w:rPr>
          <w:rFonts w:ascii="仿宋_GB2312" w:eastAsia="仿宋_GB2312"/>
          <w:sz w:val="30"/>
          <w:szCs w:val="30"/>
          <w:u w:val="none"/>
        </w:rPr>
      </w:pP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sz w:val="30"/>
          <w:szCs w:val="30"/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 xml:space="preserve">  文学与传媒</w:t>
      </w:r>
      <w:r>
        <w:rPr>
          <w:rFonts w:hint="eastAsia" w:ascii="黑体" w:hAnsi="黑体" w:eastAsia="黑体" w:cs="黑体"/>
          <w:sz w:val="30"/>
          <w:szCs w:val="30"/>
          <w:u w:val="none"/>
        </w:rPr>
        <w:t>学院  20230108  岗位 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试讲的科目为《专业基础》。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ascii="仿宋_GB2312" w:eastAsia="仿宋_GB2312"/>
          <w:sz w:val="30"/>
          <w:szCs w:val="30"/>
          <w:u w:val="none"/>
        </w:rPr>
        <w:t>李白《黄鹤楼送孟浩然之广陵》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ascii="仿宋_GB2312" w:eastAsia="仿宋_GB2312"/>
          <w:sz w:val="30"/>
          <w:szCs w:val="30"/>
          <w:u w:val="none"/>
        </w:rPr>
        <w:t>韩愈《答李翊书》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ascii="仿宋_GB2312" w:eastAsia="仿宋_GB2312"/>
          <w:sz w:val="30"/>
          <w:szCs w:val="30"/>
          <w:u w:val="none"/>
        </w:rPr>
        <w:t>非马《鸟笼》</w:t>
      </w:r>
    </w:p>
    <w:p>
      <w:pPr>
        <w:spacing w:line="360" w:lineRule="auto"/>
        <w:ind w:firstLine="602" w:firstLineChars="200"/>
        <w:rPr>
          <w:rFonts w:hint="eastAsia"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rFonts w:hint="eastAsia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 w:firstLineChars="200"/>
        <w:rPr>
          <w:rFonts w:ascii="黑体" w:hAnsi="黑体" w:eastAsia="黑体" w:cs="黑体"/>
          <w:sz w:val="30"/>
          <w:szCs w:val="30"/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 xml:space="preserve"> 文学与传媒</w:t>
      </w:r>
      <w:r>
        <w:rPr>
          <w:rFonts w:hint="eastAsia" w:ascii="黑体" w:hAnsi="黑体" w:eastAsia="黑体" w:cs="黑体"/>
          <w:sz w:val="30"/>
          <w:szCs w:val="30"/>
          <w:u w:val="none"/>
        </w:rPr>
        <w:t>学院  2</w:t>
      </w:r>
      <w:r>
        <w:rPr>
          <w:rFonts w:ascii="黑体" w:hAnsi="黑体" w:eastAsia="黑体" w:cs="黑体"/>
          <w:sz w:val="30"/>
          <w:szCs w:val="30"/>
          <w:u w:val="none"/>
        </w:rPr>
        <w:t xml:space="preserve">0230109  </w:t>
      </w:r>
      <w:r>
        <w:rPr>
          <w:rFonts w:hint="eastAsia" w:ascii="黑体" w:hAnsi="黑体" w:eastAsia="黑体" w:cs="黑体"/>
          <w:sz w:val="30"/>
          <w:szCs w:val="30"/>
          <w:u w:val="none"/>
        </w:rPr>
        <w:t>岗位  无生授课试讲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试讲的科目为《纪录片创作》，参考教材为《纪录片创作：理论与实践》朱荣清、钟欣颖</w:t>
      </w:r>
      <w:r>
        <w:rPr>
          <w:rFonts w:ascii="仿宋_GB2312" w:eastAsia="仿宋_GB2312"/>
          <w:sz w:val="30"/>
          <w:szCs w:val="30"/>
          <w:u w:val="none"/>
        </w:rPr>
        <w:t>著</w:t>
      </w:r>
      <w:r>
        <w:rPr>
          <w:rFonts w:hint="eastAsia" w:ascii="仿宋_GB2312" w:eastAsia="仿宋_GB2312"/>
          <w:sz w:val="30"/>
          <w:szCs w:val="30"/>
          <w:u w:val="none"/>
        </w:rPr>
        <w:t>，中国国际广播出版社。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内容一：纪录片的细节与故事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内容二：纪录片的“场”性思维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 xml:space="preserve">内容三：纪录片叙事技巧 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rPr>
          <w:rFonts w:ascii="仿宋_GB2312" w:eastAsia="仿宋_GB2312"/>
          <w:sz w:val="30"/>
          <w:szCs w:val="30"/>
          <w:u w:val="none"/>
        </w:rPr>
      </w:pPr>
      <w:r>
        <w:rPr>
          <w:rFonts w:ascii="仿宋_GB2312" w:eastAsia="仿宋_GB2312"/>
          <w:sz w:val="30"/>
          <w:szCs w:val="30"/>
          <w:u w:val="none"/>
        </w:rPr>
        <w:br w:type="page"/>
      </w:r>
    </w:p>
    <w:p>
      <w:pPr>
        <w:spacing w:line="360" w:lineRule="auto"/>
        <w:rPr>
          <w:rFonts w:ascii="仿宋_GB2312" w:eastAsia="仿宋_GB2312"/>
          <w:sz w:val="30"/>
          <w:szCs w:val="30"/>
          <w:u w:val="none"/>
        </w:rPr>
      </w:pPr>
    </w:p>
    <w:p>
      <w:pPr>
        <w:spacing w:line="360" w:lineRule="auto"/>
        <w:ind w:firstLine="600" w:firstLineChars="200"/>
        <w:rPr>
          <w:rFonts w:ascii="黑体" w:hAnsi="黑体" w:eastAsia="黑体" w:cs="黑体"/>
          <w:sz w:val="30"/>
          <w:szCs w:val="30"/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 xml:space="preserve"> 文学与传媒</w:t>
      </w:r>
      <w:r>
        <w:rPr>
          <w:rFonts w:hint="eastAsia" w:ascii="黑体" w:hAnsi="黑体" w:eastAsia="黑体" w:cs="黑体"/>
          <w:sz w:val="30"/>
          <w:szCs w:val="30"/>
          <w:u w:val="none"/>
        </w:rPr>
        <w:t>学院  2</w:t>
      </w:r>
      <w:r>
        <w:rPr>
          <w:rFonts w:ascii="黑体" w:hAnsi="黑体" w:eastAsia="黑体" w:cs="黑体"/>
          <w:sz w:val="30"/>
          <w:szCs w:val="30"/>
          <w:u w:val="none"/>
        </w:rPr>
        <w:t xml:space="preserve">0230110  </w:t>
      </w:r>
      <w:r>
        <w:rPr>
          <w:rFonts w:hint="eastAsia" w:ascii="黑体" w:hAnsi="黑体" w:eastAsia="黑体" w:cs="黑体"/>
          <w:sz w:val="30"/>
          <w:szCs w:val="30"/>
          <w:u w:val="none"/>
        </w:rPr>
        <w:t>岗位  无生授课试讲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</w:t>
      </w:r>
      <w:r>
        <w:rPr>
          <w:rFonts w:ascii="仿宋_GB2312" w:eastAsia="仿宋_GB2312"/>
          <w:sz w:val="30"/>
          <w:szCs w:val="30"/>
          <w:u w:val="none"/>
        </w:rPr>
        <w:t>《动画概论》，参考教材为《动画概论》（第四版），聂欣如著，复旦大学出版社。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内容一：动画的产生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内容二：人物的单纯化和转化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ascii="仿宋_GB2312" w:eastAsia="仿宋_GB2312"/>
          <w:sz w:val="30"/>
          <w:szCs w:val="30"/>
          <w:u w:val="none"/>
        </w:rPr>
        <w:t>美国主流动画的表现形式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rPr>
          <w:rFonts w:ascii="仿宋_GB2312" w:eastAsia="仿宋_GB2312"/>
          <w:sz w:val="30"/>
          <w:szCs w:val="30"/>
          <w:u w:val="none"/>
        </w:rPr>
      </w:pPr>
      <w:r>
        <w:rPr>
          <w:rFonts w:ascii="仿宋_GB2312" w:eastAsia="仿宋_GB2312"/>
          <w:sz w:val="30"/>
          <w:szCs w:val="30"/>
          <w:u w:val="none"/>
        </w:rPr>
        <w:br w:type="page"/>
      </w:r>
    </w:p>
    <w:p>
      <w:pPr>
        <w:spacing w:line="360" w:lineRule="auto"/>
        <w:rPr>
          <w:rFonts w:ascii="仿宋_GB2312" w:eastAsia="仿宋_GB2312"/>
          <w:sz w:val="30"/>
          <w:szCs w:val="30"/>
          <w:u w:val="none"/>
        </w:rPr>
      </w:pPr>
    </w:p>
    <w:p>
      <w:pPr>
        <w:spacing w:line="360" w:lineRule="auto"/>
        <w:ind w:firstLine="600" w:firstLineChars="200"/>
        <w:rPr>
          <w:rFonts w:ascii="黑体" w:hAnsi="黑体" w:eastAsia="黑体" w:cs="黑体"/>
          <w:sz w:val="30"/>
          <w:szCs w:val="30"/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 xml:space="preserve"> 文学与传媒</w:t>
      </w:r>
      <w:r>
        <w:rPr>
          <w:rFonts w:hint="eastAsia" w:ascii="黑体" w:hAnsi="黑体" w:eastAsia="黑体" w:cs="黑体"/>
          <w:sz w:val="30"/>
          <w:szCs w:val="30"/>
          <w:u w:val="none"/>
        </w:rPr>
        <w:t>学院  2</w:t>
      </w:r>
      <w:r>
        <w:rPr>
          <w:rFonts w:ascii="黑体" w:hAnsi="黑体" w:eastAsia="黑体" w:cs="黑体"/>
          <w:sz w:val="30"/>
          <w:szCs w:val="30"/>
          <w:u w:val="none"/>
        </w:rPr>
        <w:t xml:space="preserve">0230111  </w:t>
      </w:r>
      <w:r>
        <w:rPr>
          <w:rFonts w:hint="eastAsia" w:ascii="黑体" w:hAnsi="黑体" w:eastAsia="黑体" w:cs="黑体"/>
          <w:sz w:val="30"/>
          <w:szCs w:val="30"/>
          <w:u w:val="none"/>
        </w:rPr>
        <w:t>岗位  无生授课试讲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</w:t>
      </w:r>
      <w:r>
        <w:rPr>
          <w:rFonts w:ascii="仿宋_GB2312" w:eastAsia="仿宋_GB2312"/>
          <w:sz w:val="30"/>
          <w:szCs w:val="30"/>
          <w:u w:val="none"/>
        </w:rPr>
        <w:t>《</w:t>
      </w:r>
      <w:r>
        <w:rPr>
          <w:rFonts w:hint="eastAsia" w:ascii="仿宋_GB2312" w:eastAsia="仿宋_GB2312"/>
          <w:sz w:val="30"/>
          <w:szCs w:val="30"/>
          <w:u w:val="none"/>
        </w:rPr>
        <w:t>广告学概论</w:t>
      </w:r>
      <w:r>
        <w:rPr>
          <w:rFonts w:ascii="仿宋_GB2312" w:eastAsia="仿宋_GB2312"/>
          <w:sz w:val="30"/>
          <w:szCs w:val="30"/>
          <w:u w:val="none"/>
        </w:rPr>
        <w:t>》，参考教材为</w:t>
      </w:r>
      <w:r>
        <w:rPr>
          <w:rFonts w:hint="eastAsia" w:ascii="仿宋_GB2312" w:eastAsia="仿宋_GB2312"/>
          <w:sz w:val="30"/>
          <w:szCs w:val="30"/>
          <w:u w:val="none"/>
        </w:rPr>
        <w:t>《广告学概论》，丁俊杰、陈培爱、金定海编，高等教育出版社。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内容一：消费者调查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内容二：广告与品牌的关系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内容三：广告创意的思维与方法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</w:p>
    <w:p>
      <w:pPr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br w:type="page"/>
      </w:r>
    </w:p>
    <w:p>
      <w:pPr>
        <w:spacing w:line="360" w:lineRule="auto"/>
        <w:ind w:firstLine="600" w:firstLineChars="2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材料与环境工程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  20230113岗位 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试讲的科目为《水污染控制工程》, 参考教材为《水污染控制工程》（第四版）下册，高等教育出版社，高廷耀等编，2015年。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内容一：第十二章第六节 脱氮除磷工艺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内容二：第十三章第四节 生物接触氧化法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内容三：第十六章第二节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  <w:u w:val="none"/>
        </w:rPr>
        <w:t>化学混凝法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tabs>
          <w:tab w:val="left" w:pos="5473"/>
        </w:tabs>
        <w:spacing w:line="360" w:lineRule="auto"/>
        <w:ind w:firstLine="300" w:firstLineChars="100"/>
        <w:jc w:val="right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br w:type="page"/>
      </w:r>
    </w:p>
    <w:p>
      <w:pPr>
        <w:spacing w:line="360" w:lineRule="auto"/>
        <w:ind w:firstLine="600" w:firstLineChars="2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材料与环境工程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  20230114岗位 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试讲的科目为《电化学原理》, 参考教材为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《</w:t>
      </w:r>
      <w:r>
        <w:rPr>
          <w:rFonts w:hint="eastAsia" w:ascii="仿宋_GB2312" w:eastAsia="仿宋_GB2312"/>
          <w:sz w:val="30"/>
          <w:szCs w:val="30"/>
          <w:u w:val="none"/>
        </w:rPr>
        <w:t>电化学原理（第4版）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》</w:t>
      </w:r>
      <w:r>
        <w:rPr>
          <w:rFonts w:hint="eastAsia" w:ascii="仿宋_GB2312" w:eastAsia="仿宋_GB2312"/>
          <w:sz w:val="30"/>
          <w:szCs w:val="30"/>
          <w:u w:val="none"/>
        </w:rPr>
        <w:t>李荻，李松梅 著 ISBN：9787512435834。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 原电池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 电极/溶液界面的吸附现象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内容三：化学电池的基本性能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spacing w:line="360" w:lineRule="auto"/>
        <w:jc w:val="center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</w:p>
    <w:p>
      <w:pPr>
        <w:rPr>
          <w:u w:val="none"/>
        </w:rPr>
      </w:pPr>
      <w:r>
        <w:rPr>
          <w:u w:val="none"/>
        </w:rPr>
        <w:br w:type="page"/>
      </w:r>
    </w:p>
    <w:p>
      <w:pPr>
        <w:rPr>
          <w:u w:val="none"/>
        </w:rPr>
      </w:pPr>
    </w:p>
    <w:p>
      <w:pPr>
        <w:rPr>
          <w:u w:val="none"/>
        </w:rPr>
      </w:pPr>
    </w:p>
    <w:p>
      <w:pPr>
        <w:spacing w:line="360" w:lineRule="auto"/>
        <w:ind w:firstLine="1200" w:firstLineChars="4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外国语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学院20230115岗位 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大学英语</w:t>
      </w:r>
      <w:r>
        <w:rPr>
          <w:rFonts w:hint="eastAsia" w:ascii="仿宋_GB2312" w:eastAsia="仿宋_GB2312"/>
          <w:sz w:val="30"/>
          <w:szCs w:val="30"/>
          <w:u w:val="none"/>
        </w:rPr>
        <w:t>》, 参考教材为《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新视野大学英语2读写教程</w:t>
      </w:r>
      <w:r>
        <w:rPr>
          <w:rFonts w:hint="eastAsia" w:ascii="仿宋_GB2312" w:eastAsia="仿宋_GB2312"/>
          <w:sz w:val="30"/>
          <w:szCs w:val="30"/>
          <w:u w:val="none"/>
        </w:rPr>
        <w:t>》（第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三</w:t>
      </w:r>
      <w:r>
        <w:rPr>
          <w:rFonts w:hint="eastAsia" w:ascii="仿宋_GB2312" w:eastAsia="仿宋_GB2312"/>
          <w:sz w:val="30"/>
          <w:szCs w:val="30"/>
          <w:u w:val="none"/>
        </w:rPr>
        <w:t>版），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郑树棠总主编</w:t>
      </w:r>
      <w:r>
        <w:rPr>
          <w:rFonts w:hint="eastAsia" w:ascii="仿宋_GB2312" w:eastAsia="仿宋_GB2312"/>
          <w:sz w:val="30"/>
          <w:szCs w:val="30"/>
          <w:u w:val="none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外语教学与研究</w:t>
      </w:r>
      <w:r>
        <w:rPr>
          <w:rFonts w:hint="eastAsia" w:ascii="仿宋_GB2312" w:eastAsia="仿宋_GB2312"/>
          <w:sz w:val="30"/>
          <w:szCs w:val="30"/>
          <w:u w:val="none"/>
        </w:rPr>
        <w:t>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  <w:lang w:val="en-US" w:eastAsia="zh-CN"/>
        </w:rPr>
        <w:t xml:space="preserve">Unit 1 Text A </w:t>
      </w:r>
      <w:r>
        <w:rPr>
          <w:rFonts w:hint="eastAsia" w:ascii="Times New Roman" w:hAnsi="Times New Roman" w:eastAsia="仿宋_GB2312" w:cs="Times New Roman"/>
          <w:sz w:val="30"/>
          <w:szCs w:val="30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  <w:lang w:val="en-US" w:eastAsia="zh-CN"/>
        </w:rPr>
        <w:t>An Impressive English Lesson</w:t>
      </w:r>
      <w:r>
        <w:rPr>
          <w:rFonts w:hint="eastAsia" w:ascii="Times New Roman" w:hAnsi="Times New Roman" w:eastAsia="仿宋_GB2312" w:cs="Times New Roman"/>
          <w:sz w:val="30"/>
          <w:szCs w:val="30"/>
          <w:u w:val="none"/>
          <w:lang w:val="en-US" w:eastAsia="zh-CN"/>
        </w:rPr>
        <w:t xml:space="preserve">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Times New Roman" w:hAnsi="Times New Roman" w:eastAsia="仿宋_GB2312" w:cs="Times New Roman"/>
          <w:sz w:val="30"/>
          <w:szCs w:val="30"/>
          <w:u w:val="none"/>
          <w:lang w:val="en-US" w:eastAsia="zh-CN"/>
        </w:rPr>
        <w:t xml:space="preserve">Unit 2 Text A  The humanities:Out of date?  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Times New Roman" w:hAnsi="Times New Roman" w:eastAsia="仿宋_GB2312" w:cs="Times New Roman"/>
          <w:sz w:val="30"/>
          <w:szCs w:val="30"/>
          <w:u w:val="none"/>
          <w:lang w:val="en-US" w:eastAsia="zh-CN"/>
        </w:rPr>
        <w:t>Unit 3 Text A  Journey through the odyssey years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spacing w:line="360" w:lineRule="auto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0"/>
          <w:szCs w:val="30"/>
          <w:u w:val="none"/>
        </w:rPr>
        <w:br w:type="page"/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机电工程学院  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 20230117、20230118岗位无生授课试讲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电路</w:t>
      </w:r>
      <w:r>
        <w:rPr>
          <w:rFonts w:hint="eastAsia" w:ascii="仿宋_GB2312" w:eastAsia="仿宋_GB2312"/>
          <w:sz w:val="30"/>
          <w:szCs w:val="30"/>
          <w:u w:val="none"/>
        </w:rPr>
        <w:t>》。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电流和电压的参考方向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结点电压法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戴维南定理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spacing w:line="360" w:lineRule="auto"/>
        <w:ind w:firstLine="420" w:firstLineChars="200"/>
        <w:rPr>
          <w:u w:val="none"/>
        </w:rPr>
      </w:pPr>
    </w:p>
    <w:p>
      <w:pPr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br w:type="page"/>
      </w:r>
    </w:p>
    <w:p>
      <w:pPr>
        <w:spacing w:line="360" w:lineRule="auto"/>
        <w:ind w:firstLine="600" w:firstLineChars="200"/>
        <w:rPr>
          <w:rFonts w:ascii="黑体" w:hAnsi="黑体" w:eastAsia="黑体" w:cs="黑体"/>
          <w:sz w:val="30"/>
          <w:szCs w:val="30"/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 xml:space="preserve"> 大数据与人工智能</w:t>
      </w:r>
      <w:r>
        <w:rPr>
          <w:rFonts w:hint="eastAsia" w:ascii="黑体" w:hAnsi="黑体" w:eastAsia="黑体" w:cs="黑体"/>
          <w:sz w:val="30"/>
          <w:szCs w:val="30"/>
          <w:u w:val="none"/>
        </w:rPr>
        <w:t>学院202301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19</w:t>
      </w:r>
      <w:r>
        <w:rPr>
          <w:rFonts w:hint="eastAsia" w:ascii="黑体" w:hAnsi="黑体" w:eastAsia="黑体" w:cs="黑体"/>
          <w:sz w:val="30"/>
          <w:szCs w:val="30"/>
          <w:u w:val="none"/>
        </w:rPr>
        <w:t>岗位 授课试讲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试讲的科目为《数学分析》, 参考教材为《数学分析》，华东师范大学数学系编，高等教育出版社。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 xml:space="preserve">内容一：一致连续性 </w:t>
      </w:r>
      <w:r>
        <w:rPr>
          <w:rFonts w:ascii="仿宋_GB2312" w:eastAsia="仿宋_GB2312"/>
          <w:sz w:val="30"/>
          <w:szCs w:val="30"/>
          <w:u w:val="none"/>
        </w:rPr>
        <w:t xml:space="preserve">     </w:t>
      </w:r>
      <w:r>
        <w:rPr>
          <w:rFonts w:hint="eastAsia" w:ascii="仿宋_GB2312" w:eastAsia="仿宋_GB2312"/>
          <w:sz w:val="30"/>
          <w:szCs w:val="30"/>
          <w:u w:val="none"/>
        </w:rPr>
        <w:t xml:space="preserve"> 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 xml:space="preserve">内容二：导数的定义 </w:t>
      </w:r>
      <w:r>
        <w:rPr>
          <w:rFonts w:ascii="仿宋_GB2312" w:eastAsia="仿宋_GB2312"/>
          <w:sz w:val="30"/>
          <w:szCs w:val="30"/>
          <w:u w:val="none"/>
        </w:rPr>
        <w:t xml:space="preserve">   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内容三：洛必达法则</w:t>
      </w:r>
      <w:r>
        <w:rPr>
          <w:rFonts w:ascii="仿宋_GB2312" w:eastAsia="仿宋_GB2312"/>
          <w:sz w:val="30"/>
          <w:szCs w:val="30"/>
          <w:u w:val="none"/>
        </w:rPr>
        <w:t xml:space="preserve">        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rPr>
          <w:u w:val="none"/>
        </w:rPr>
      </w:pPr>
      <w:r>
        <w:rPr>
          <w:u w:val="none"/>
        </w:rPr>
        <w:br w:type="page"/>
      </w:r>
    </w:p>
    <w:p>
      <w:pPr>
        <w:rPr>
          <w:u w:val="none"/>
        </w:rPr>
      </w:pPr>
    </w:p>
    <w:p>
      <w:pPr>
        <w:spacing w:line="360" w:lineRule="auto"/>
        <w:ind w:firstLine="600" w:firstLineChars="200"/>
        <w:rPr>
          <w:rFonts w:ascii="黑体" w:hAnsi="黑体" w:eastAsia="黑体" w:cs="黑体"/>
          <w:sz w:val="30"/>
          <w:szCs w:val="30"/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 xml:space="preserve"> 大数据与人工智能</w:t>
      </w:r>
      <w:r>
        <w:rPr>
          <w:rFonts w:hint="eastAsia" w:ascii="黑体" w:hAnsi="黑体" w:eastAsia="黑体" w:cs="黑体"/>
          <w:sz w:val="30"/>
          <w:szCs w:val="30"/>
          <w:u w:val="none"/>
        </w:rPr>
        <w:t>学院20230120岗位 授课试讲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试讲的科目为《数据结构》, 参考教材为《数据结构》（C语言版），严蔚敏，吴伟民等著，清华大学出版社。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 xml:space="preserve">内容一：图的最小生成树-普里姆（Prim）算法 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 xml:space="preserve">内容二：堆排序算法-大根堆为例 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内容三：迪杰斯特拉（Dijkstra）算法求单源最短路径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rPr>
          <w:rFonts w:hint="eastAsia"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br w:type="page"/>
      </w: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艺术与教育学院（</w:t>
      </w: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20230122）岗位  无生授课试讲</w:t>
      </w: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试讲的科目为《产品设计》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内容一：人机学与新产品的创意研发                                          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内容二：旅游产品的设计定位                                         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内容三：产品材质与功能的关系                                         </w:t>
      </w:r>
    </w:p>
    <w:p>
      <w:pPr>
        <w:spacing w:line="360" w:lineRule="auto"/>
        <w:ind w:firstLine="602" w:firstLineChars="200"/>
        <w:rPr>
          <w:rFonts w:hint="eastAsia" w:ascii="仿宋_GB2312" w:eastAsia="仿宋_GB2312"/>
          <w:b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  <w:u w:val="none"/>
          <w:lang w:val="en-US" w:eastAsia="zh-CN"/>
        </w:rPr>
        <w:t>试讲具体要求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现场问答：专家组围绕试讲内容、相关专业理论知识与技能、课程思政等方面内容进行提问，提问题目一般不少于2个，时间不超过8分钟。</w:t>
      </w:r>
    </w:p>
    <w:p>
      <w:pPr>
        <w:jc w:val="center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艺术与教育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学院（ 20230123）岗位 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版画或漆画</w:t>
      </w:r>
      <w:r>
        <w:rPr>
          <w:rFonts w:hint="eastAsia" w:ascii="仿宋_GB2312" w:eastAsia="仿宋_GB2312"/>
          <w:sz w:val="30"/>
          <w:szCs w:val="30"/>
          <w:u w:val="none"/>
        </w:rPr>
        <w:t>》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自己的代表作《XXXX》赏析（从创作目的、手法、特色等方面分析）                                      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版画（或漆画）制作的材料及工具                                        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版画（或漆画）的创作过程                                          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jc w:val="right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</w:rPr>
      </w:pPr>
    </w:p>
    <w:p>
      <w:pPr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center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艺术与教育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学院（20230124）岗位  无生授课试讲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歌曲写作教程</w:t>
      </w:r>
      <w:r>
        <w:rPr>
          <w:rFonts w:hint="eastAsia" w:ascii="仿宋_GB2312" w:eastAsia="仿宋_GB2312"/>
          <w:sz w:val="30"/>
          <w:szCs w:val="30"/>
          <w:u w:val="none"/>
        </w:rPr>
        <w:t>》,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参考教材为《歌曲写作教程》，樊祖荫著，人民音乐出版社、上海音乐出版社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歌曲音乐主题的写作                                      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旋律发展手法                                      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调发展手法                                        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spacing w:line="360" w:lineRule="auto"/>
        <w:jc w:val="center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ind w:firstLine="600" w:firstLineChars="2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艺术与教育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学院（2023125）岗位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学前教育</w:t>
      </w:r>
      <w:r>
        <w:rPr>
          <w:rFonts w:hint="eastAsia" w:ascii="仿宋_GB2312" w:eastAsia="仿宋_GB2312"/>
          <w:sz w:val="30"/>
          <w:szCs w:val="30"/>
          <w:u w:val="none"/>
        </w:rPr>
        <w:t>》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 幼儿园语言教育活动的目标与作用                                       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 幼儿园课程编制中内容的选择和组织                                        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 xml:space="preserve"> 幼儿常见问题行为类型及矫正                                       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ind w:firstLine="600" w:firstLineChars="200"/>
        <w:rPr>
          <w:rFonts w:hint="default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体育学院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学院（20230126、20230127）岗位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运动生理学</w:t>
      </w:r>
      <w:r>
        <w:rPr>
          <w:rFonts w:hint="eastAsia" w:ascii="仿宋_GB2312" w:eastAsia="仿宋_GB2312"/>
          <w:sz w:val="30"/>
          <w:szCs w:val="30"/>
          <w:u w:val="none"/>
        </w:rPr>
        <w:t>》, 参考教材为《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运动生理学</w:t>
      </w:r>
      <w:r>
        <w:rPr>
          <w:rFonts w:hint="eastAsia" w:ascii="仿宋_GB2312" w:eastAsia="仿宋_GB2312"/>
          <w:sz w:val="30"/>
          <w:szCs w:val="30"/>
          <w:u w:val="none"/>
        </w:rPr>
        <w:t>》（第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三</w:t>
      </w:r>
      <w:r>
        <w:rPr>
          <w:rFonts w:hint="eastAsia" w:ascii="仿宋_GB2312" w:eastAsia="仿宋_GB2312"/>
          <w:sz w:val="30"/>
          <w:szCs w:val="30"/>
          <w:u w:val="none"/>
        </w:rPr>
        <w:t>版），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邓树勋、王健、乔德才、郝选明</w:t>
      </w:r>
      <w:r>
        <w:rPr>
          <w:rFonts w:hint="eastAsia" w:ascii="仿宋_GB2312" w:eastAsia="仿宋_GB2312"/>
          <w:sz w:val="30"/>
          <w:szCs w:val="30"/>
          <w:u w:val="none"/>
        </w:rPr>
        <w:t>著，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高等教育</w:t>
      </w:r>
      <w:r>
        <w:rPr>
          <w:rFonts w:hint="eastAsia" w:ascii="仿宋_GB2312" w:eastAsia="仿宋_GB2312"/>
          <w:sz w:val="30"/>
          <w:szCs w:val="30"/>
          <w:u w:val="none"/>
        </w:rPr>
        <w:t>出版社。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肌肉收缩形式及力学特征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人体三大供能系统及其特征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核心力量训练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rPr>
          <w:u w:val="none"/>
        </w:rPr>
      </w:pPr>
      <w:r>
        <w:rPr>
          <w:u w:val="none"/>
        </w:rPr>
        <w:br w:type="page"/>
      </w:r>
    </w:p>
    <w:p>
      <w:pPr>
        <w:rPr>
          <w:u w:val="none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ind w:firstLine="600" w:firstLineChars="200"/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马克思主义学院（法学院） 20230128</w:t>
      </w:r>
      <w:r>
        <w:rPr>
          <w:rFonts w:hint="eastAsia" w:ascii="黑体" w:hAnsi="黑体" w:eastAsia="黑体" w:cs="黑体"/>
          <w:sz w:val="30"/>
          <w:szCs w:val="30"/>
          <w:u w:val="none"/>
          <w:lang w:val="en-US" w:eastAsia="zh-CN"/>
        </w:rPr>
        <w:t>岗位 无生授课试讲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试讲的科目为《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知识产权法</w:t>
      </w:r>
      <w:r>
        <w:rPr>
          <w:rFonts w:hint="eastAsia" w:ascii="仿宋_GB2312" w:eastAsia="仿宋_GB2312"/>
          <w:sz w:val="30"/>
          <w:szCs w:val="30"/>
          <w:u w:val="none"/>
        </w:rPr>
        <w:t>》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根据学校人才招聘工作要求，由专家从下面三个内容中现场随机抽取一个内容进行面试试讲，所有应试人员同一个试讲内容。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内容一：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职务作品及其著作权归属</w:t>
      </w:r>
    </w:p>
    <w:p>
      <w:pPr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内容二：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商标的显著性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u w:val="none"/>
        </w:rPr>
        <w:t>内容三：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发明的概念</w:t>
      </w:r>
      <w:r>
        <w:rPr>
          <w:rFonts w:hint="eastAsia" w:ascii="仿宋_GB2312" w:eastAsia="仿宋_GB2312"/>
          <w:sz w:val="30"/>
          <w:szCs w:val="30"/>
          <w:u w:val="none"/>
        </w:rPr>
        <w:t>与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特征</w:t>
      </w:r>
    </w:p>
    <w:p>
      <w:pPr>
        <w:spacing w:line="360" w:lineRule="auto"/>
        <w:ind w:firstLine="602" w:firstLineChars="200"/>
        <w:rPr>
          <w:rFonts w:ascii="仿宋_GB2312" w:eastAsia="仿宋_GB2312"/>
          <w:b/>
          <w:sz w:val="30"/>
          <w:szCs w:val="30"/>
          <w:u w:val="none"/>
        </w:rPr>
      </w:pPr>
      <w:r>
        <w:rPr>
          <w:rFonts w:hint="eastAsia" w:ascii="仿宋_GB2312" w:eastAsia="仿宋_GB2312"/>
          <w:b/>
          <w:sz w:val="30"/>
          <w:szCs w:val="30"/>
          <w:u w:val="none"/>
        </w:rPr>
        <w:t>试讲具体要求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</w:rPr>
        <w:t>试讲：应试人员面对专家进行现场试讲。试讲的形式及要求：(1)按教学要求正式讲课，时间不超过15分钟；(2)试讲时应试人员须提供15分钟的PPT课件;(3)试讲过程必须有PPT课件和手写板书两种形式结合，缺项可酌情扣分。</w:t>
      </w:r>
    </w:p>
    <w:p>
      <w:pPr>
        <w:spacing w:line="360" w:lineRule="auto"/>
        <w:ind w:firstLine="600" w:firstLineChars="200"/>
        <w:rPr>
          <w:u w:val="none"/>
        </w:rPr>
      </w:pP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现场问答</w:t>
      </w:r>
      <w:r>
        <w:rPr>
          <w:rFonts w:hint="eastAsia" w:ascii="仿宋_GB2312" w:eastAsia="仿宋_GB2312"/>
          <w:sz w:val="30"/>
          <w:szCs w:val="30"/>
          <w:u w:val="none"/>
        </w:rPr>
        <w:t>：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专家组</w:t>
      </w:r>
      <w:r>
        <w:rPr>
          <w:rFonts w:hint="eastAsia" w:ascii="仿宋_GB2312" w:eastAsia="仿宋_GB2312"/>
          <w:sz w:val="30"/>
          <w:szCs w:val="30"/>
          <w:u w:val="none"/>
        </w:rPr>
        <w:t>围绕试讲内容、相关专业理论知识与技能、课程思政等方面内容进行提问，提问题目一般不少于2个</w:t>
      </w:r>
      <w:r>
        <w:rPr>
          <w:rFonts w:hint="eastAsia" w:ascii="仿宋_GB2312" w:eastAsia="仿宋_GB2312"/>
          <w:sz w:val="30"/>
          <w:szCs w:val="30"/>
          <w:u w:val="none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时间不超过8分钟</w:t>
      </w:r>
      <w:r>
        <w:rPr>
          <w:rFonts w:hint="eastAsia" w:ascii="仿宋_GB2312" w:eastAsia="仿宋_GB2312"/>
          <w:sz w:val="30"/>
          <w:szCs w:val="30"/>
          <w:u w:val="none"/>
        </w:rPr>
        <w:t>。</w:t>
      </w:r>
    </w:p>
    <w:p>
      <w:pPr>
        <w:rPr>
          <w:u w:val="none"/>
        </w:rPr>
      </w:pPr>
    </w:p>
    <w:p>
      <w:pPr>
        <w:tabs>
          <w:tab w:val="left" w:pos="5473"/>
        </w:tabs>
        <w:spacing w:line="360" w:lineRule="auto"/>
        <w:ind w:firstLine="300" w:firstLineChars="100"/>
        <w:jc w:val="right"/>
        <w:rPr>
          <w:rFonts w:hint="eastAsia" w:ascii="仿宋_GB2312" w:eastAsia="仿宋_GB2312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MjdjY2I2ZDRmNzI0MGY1NWEyYjM0YzdhZTMyOTUifQ=="/>
  </w:docVars>
  <w:rsids>
    <w:rsidRoot w:val="4474643C"/>
    <w:rsid w:val="04157618"/>
    <w:rsid w:val="0CE20CA1"/>
    <w:rsid w:val="1EB2558B"/>
    <w:rsid w:val="4474643C"/>
    <w:rsid w:val="463D6035"/>
    <w:rsid w:val="4D2E5BB0"/>
    <w:rsid w:val="5279672B"/>
    <w:rsid w:val="5F9A7ECC"/>
    <w:rsid w:val="65E6737A"/>
    <w:rsid w:val="66AA5374"/>
    <w:rsid w:val="72F72247"/>
    <w:rsid w:val="7B61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 21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6344</Words>
  <Characters>6887</Characters>
  <Lines>0</Lines>
  <Paragraphs>0</Paragraphs>
  <TotalTime>47</TotalTime>
  <ScaleCrop>false</ScaleCrop>
  <LinksUpToDate>false</LinksUpToDate>
  <CharactersWithSpaces>7538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2023-03-25T07:25:00Z</dcterms:created>
  <dc:creator>墨非</dc:creator>
  <cp:lastModifiedBy>墨非</cp:lastModifiedBy>
  <dcterms:modified xsi:type="dcterms:W3CDTF">2023-03-27T06:37:30Z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021CA67A66B8442D95A8B38A920FD045_11</vt:lpwstr>
  </property>
</Properties>
</file>