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710"/>
        <w:gridCol w:w="1080"/>
        <w:gridCol w:w="1425"/>
        <w:gridCol w:w="825"/>
        <w:gridCol w:w="2625"/>
        <w:gridCol w:w="1455"/>
        <w:gridCol w:w="1305"/>
        <w:gridCol w:w="81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4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14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2023年南乐县第一高级中学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引进高层次人才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类别与等级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学历条件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专业条件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职（执）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业资格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高中语文教师，专业技术十三级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普通高等教育本科一批及以上学历，取得毕业证书和学位证书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中国语言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文学类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具有与所报岗位相应学科、相应层次及以上的教师资格证书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岗位相近专业要求参照《普通高等学校本科专业目录》（2020年版）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高中数学教师，专业技术十三级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普通高等教育本科一批及以上学历，取得毕业证书和学位证书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数学类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高中英语教师，专业技术十三级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普通高等教育本科一批及以上学历，取得毕业证书和学位证书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高中物理教师，专业技术十三级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普通高等教育本科一批及以上学历，取得毕业证书和学位证书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高中化学教师，专业技术十三级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普通高等教育本科一批及以上学历，取得毕业证书和学位证书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化学类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高中生物教师，专业技术十三级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普通高等教育本科一批及以上学历，取得毕业证书和学位证书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生物科学类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6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417" w:right="1417" w:bottom="1417" w:left="1417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Y2Y4NGRjYmI1YzZhMGM4ZDJjMjUzMmZkMGFjMGIifQ=="/>
  </w:docVars>
  <w:rsids>
    <w:rsidRoot w:val="6AA43357"/>
    <w:rsid w:val="24943FA8"/>
    <w:rsid w:val="6AA4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ascii="Calibri" w:hAnsi="Calibri" w:eastAsia="方正小标宋简体"/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2023-05-10T08:53:00Z</dcterms:created>
  <dc:creator>张天瑞</dc:creator>
  <cp:lastModifiedBy>张天瑞</cp:lastModifiedBy>
  <dcterms:modified xsi:type="dcterms:W3CDTF">2023-05-10T09:08:35Z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BDC3545EFEC346929D7AD33943BDBCBD_11</vt:lpwstr>
  </property>
</Properties>
</file>