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1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976"/>
        <w:gridCol w:w="916"/>
        <w:gridCol w:w="1581"/>
        <w:gridCol w:w="1435"/>
        <w:gridCol w:w="170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14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7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82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</w:t>
            </w:r>
          </w:p>
          <w:p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OWE5NmU5NDBmZjY1YzYxOWU4YjEyOWIxZmYyYmMifQ=="/>
  </w:docVars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3B9B5A99"/>
    <w:rsid w:val="4F26315C"/>
    <w:rsid w:val="50DD0AF2"/>
    <w:rsid w:val="5DC47F9F"/>
    <w:rsid w:val="67FA1B9D"/>
    <w:rsid w:val="6D1E7B6A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10350</Words>
  <Characters>15817</Characters>
  <Lines>144</Lines>
  <Paragraphs>40</Paragraphs>
  <TotalTime>12</TotalTime>
  <ScaleCrop>false</ScaleCrop>
  <LinksUpToDate>false</LinksUpToDate>
  <CharactersWithSpaces>15817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Administrator</cp:lastModifiedBy>
  <dcterms:modified xsi:type="dcterms:W3CDTF">2023-07-21T02:56:22Z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278092817_cloud</vt:lpwstr>
  </property>
  <property fmtid="{D5CDD505-2E9C-101B-9397-08002B2CF9AE}" pid="4" name="ICV">
    <vt:lpwstr>FC850DD60C70494583BA87F71253FD24_13</vt:lpwstr>
  </property>
</Properties>
</file>