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after="210"/>
        <w:jc w:val="center"/>
        <w:outlineLvl w:val="0"/>
        <w:rPr>
          <w:rFonts w:ascii="Microsoft YaHei UI" w:hAnsi="Microsoft YaHei UI" w:eastAsia="Microsoft YaHei UI" w:cs="宋体"/>
          <w:spacing w:val="8"/>
          <w:kern w:val="36"/>
          <w:sz w:val="33"/>
          <w:szCs w:val="33"/>
        </w:rPr>
      </w:pPr>
      <w:r>
        <w:rPr>
          <w:rFonts w:hint="eastAsia" w:ascii="Microsoft YaHei UI" w:hAnsi="Microsoft YaHei UI" w:eastAsia="Microsoft YaHei UI" w:cs="宋体"/>
          <w:spacing w:val="8"/>
          <w:kern w:val="36"/>
          <w:sz w:val="33"/>
          <w:szCs w:val="33"/>
        </w:rPr>
        <w:t>镇海中学嵊州分校公开招聘2024年事业编制教师的</w:t>
      </w:r>
    </w:p>
    <w:p>
      <w:pPr>
        <w:widowControl/>
        <w:shd w:val="clear" w:color="auto" w:fill="FFFFFF"/>
        <w:spacing w:after="210"/>
        <w:jc w:val="center"/>
        <w:outlineLvl w:val="0"/>
        <w:rPr>
          <w:rFonts w:hint="eastAsia" w:ascii="Microsoft YaHei UI" w:hAnsi="Microsoft YaHei UI" w:eastAsia="Microsoft YaHei UI" w:cs="宋体"/>
          <w:spacing w:val="8"/>
          <w:kern w:val="36"/>
          <w:sz w:val="33"/>
          <w:szCs w:val="33"/>
          <w:lang w:eastAsia="zh-CN"/>
        </w:rPr>
      </w:pPr>
      <w:r>
        <w:rPr>
          <w:rFonts w:hint="eastAsia" w:ascii="Microsoft YaHei UI" w:hAnsi="Microsoft YaHei UI" w:eastAsia="Microsoft YaHei UI" w:cs="宋体"/>
          <w:spacing w:val="8"/>
          <w:kern w:val="36"/>
          <w:sz w:val="33"/>
          <w:szCs w:val="33"/>
        </w:rPr>
        <w:t>公 告</w:t>
      </w:r>
      <w:r>
        <w:rPr>
          <w:rFonts w:hint="eastAsia" w:ascii="Microsoft YaHei UI" w:hAnsi="Microsoft YaHei UI" w:eastAsia="Microsoft YaHei UI" w:cs="宋体"/>
          <w:spacing w:val="8"/>
          <w:kern w:val="36"/>
          <w:sz w:val="33"/>
          <w:szCs w:val="33"/>
          <w:lang w:eastAsia="zh-CN"/>
        </w:rPr>
        <w:t>（</w:t>
      </w:r>
      <w:r>
        <w:rPr>
          <w:rFonts w:hint="eastAsia" w:ascii="Microsoft YaHei UI" w:hAnsi="Microsoft YaHei UI" w:eastAsia="Microsoft YaHei UI" w:cs="宋体"/>
          <w:spacing w:val="8"/>
          <w:kern w:val="36"/>
          <w:sz w:val="33"/>
          <w:szCs w:val="33"/>
          <w:lang w:val="en-US" w:eastAsia="zh-CN"/>
        </w:rPr>
        <w:t>第二批</w:t>
      </w:r>
      <w:r>
        <w:rPr>
          <w:rFonts w:hint="eastAsia" w:ascii="Microsoft YaHei UI" w:hAnsi="Microsoft YaHei UI" w:eastAsia="Microsoft YaHei UI" w:cs="宋体"/>
          <w:spacing w:val="8"/>
          <w:kern w:val="36"/>
          <w:sz w:val="33"/>
          <w:szCs w:val="33"/>
          <w:lang w:eastAsia="zh-CN"/>
        </w:rPr>
        <w:t>）</w:t>
      </w:r>
    </w:p>
    <w:p>
      <w:pPr>
        <w:widowControl/>
        <w:spacing w:line="500" w:lineRule="exact"/>
        <w:ind w:firstLine="482"/>
        <w:rPr>
          <w:rFonts w:ascii="华文宋体" w:hAnsi="华文宋体" w:eastAsia="华文宋体" w:cs="宋体"/>
          <w:kern w:val="0"/>
          <w:sz w:val="24"/>
          <w:szCs w:val="24"/>
        </w:rPr>
      </w:pPr>
      <w:r>
        <w:rPr>
          <w:rFonts w:hint="eastAsia" w:ascii="宋体" w:hAnsi="宋体" w:eastAsia="宋体" w:cs="宋体"/>
          <w:sz w:val="24"/>
          <w:szCs w:val="24"/>
        </w:rPr>
        <w:t>根据《事业单位人事管理条例》《浙江省事业单位公开招聘人员暂行办法》和《绍兴市事业单位公开招聘工作实施细则（试行）》等有关规定，经嵊州市教体局审核，报市人力资源和社会保障局同意，拟公开招聘事业编制教师</w:t>
      </w:r>
      <w:r>
        <w:rPr>
          <w:rFonts w:hint="eastAsia" w:ascii="宋体" w:hAnsi="宋体" w:eastAsia="宋体" w:cs="宋体"/>
          <w:sz w:val="24"/>
          <w:szCs w:val="24"/>
          <w:lang w:val="en-US" w:eastAsia="zh-CN"/>
        </w:rPr>
        <w:t>5</w:t>
      </w:r>
      <w:r>
        <w:rPr>
          <w:rFonts w:hint="eastAsia" w:ascii="宋体" w:hAnsi="宋体" w:eastAsia="宋体" w:cs="宋体"/>
          <w:sz w:val="24"/>
          <w:szCs w:val="24"/>
        </w:rPr>
        <w:t>名。现就有关事项公告如下：</w:t>
      </w:r>
    </w:p>
    <w:p>
      <w:pPr>
        <w:widowControl/>
        <w:ind w:firstLine="542" w:firstLineChars="200"/>
        <w:jc w:val="left"/>
        <w:rPr>
          <w:rFonts w:ascii="华文宋体" w:hAnsi="华文宋体" w:eastAsia="华文宋体" w:cs="宋体"/>
          <w:kern w:val="0"/>
          <w:sz w:val="24"/>
          <w:szCs w:val="24"/>
        </w:rPr>
      </w:pPr>
      <w:r>
        <w:rPr>
          <w:rFonts w:ascii="华文宋体" w:hAnsi="华文宋体" w:eastAsia="华文宋体" w:cs="宋体"/>
          <w:b/>
          <w:bCs/>
          <w:kern w:val="0"/>
          <w:sz w:val="27"/>
          <w:szCs w:val="27"/>
        </w:rPr>
        <w:t>一、招聘单位简介</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镇海中学嵊州分校是一所由嵊州市政府创办，宁波市镇海中学负责管理的公办完全中学。学校坐落在嵊州经济开发区，校园占地面积约160亩，传承镇中风格，建有硬件设施一流、功能齐全的各类专用教室、活动场馆、开放式学习休闲空间和师生生活设施，水榭亭台布局井然，文化氛围沉静博雅，满足师生多样化工作、学习、生活的需要。</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学校通过注入“镇海中学”品牌，秉承镇海中学“梓材荫泽，追求卓越”办学理念、“重在自觉、贵在成全”教育理念和“励志、进取、勤奋、健美”校训，全体教师坚持“学生在，老师在”的教育态度，努力创办面向未来的品质教育，培养志存高远、勇于担当、本领过硬的新时代少年。</w:t>
      </w:r>
    </w:p>
    <w:p>
      <w:pPr>
        <w:widowControl/>
        <w:ind w:firstLine="542" w:firstLineChars="200"/>
        <w:jc w:val="left"/>
        <w:rPr>
          <w:rFonts w:ascii="华文宋体" w:hAnsi="华文宋体" w:eastAsia="华文宋体" w:cs="宋体"/>
          <w:kern w:val="0"/>
          <w:sz w:val="24"/>
          <w:szCs w:val="24"/>
        </w:rPr>
      </w:pPr>
      <w:r>
        <w:rPr>
          <w:rFonts w:ascii="华文宋体" w:hAnsi="华文宋体" w:eastAsia="华文宋体" w:cs="宋体"/>
          <w:b/>
          <w:bCs/>
          <w:kern w:val="0"/>
          <w:sz w:val="27"/>
          <w:szCs w:val="27"/>
        </w:rPr>
        <w:t>二、招聘原则与办法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招聘工作坚持公开、平等、竞争、择优原则，按照德才兼备的用人标准，通过公开报名、资格确认、测试、体检和考察等程序进行，择优聘用。</w:t>
      </w:r>
    </w:p>
    <w:p>
      <w:pPr>
        <w:widowControl/>
        <w:numPr>
          <w:ilvl w:val="0"/>
          <w:numId w:val="1"/>
        </w:numPr>
        <w:ind w:firstLine="542" w:firstLineChars="200"/>
        <w:jc w:val="left"/>
        <w:rPr>
          <w:rFonts w:ascii="华文宋体" w:hAnsi="华文宋体" w:eastAsia="华文宋体" w:cs="宋体"/>
          <w:b/>
          <w:bCs/>
          <w:kern w:val="0"/>
          <w:sz w:val="27"/>
          <w:szCs w:val="27"/>
        </w:rPr>
      </w:pPr>
      <w:r>
        <w:rPr>
          <w:rFonts w:ascii="华文宋体" w:hAnsi="华文宋体" w:eastAsia="华文宋体" w:cs="宋体"/>
          <w:b/>
          <w:bCs/>
          <w:kern w:val="0"/>
          <w:sz w:val="27"/>
          <w:szCs w:val="27"/>
        </w:rPr>
        <w:t>招聘岗位与人数</w:t>
      </w:r>
    </w:p>
    <w:p>
      <w:pPr>
        <w:pStyle w:val="2"/>
        <w:spacing w:before="0" w:beforeAutospacing="0" w:after="0" w:afterAutospacing="0" w:line="360" w:lineRule="auto"/>
        <w:ind w:firstLine="480" w:firstLineChars="200"/>
      </w:pPr>
      <w:r>
        <w:rPr>
          <w:rFonts w:hint="eastAsia"/>
        </w:rPr>
        <w:t>本次招聘初中各学科共计划岗位数</w:t>
      </w:r>
      <w:r>
        <w:rPr>
          <w:rFonts w:hint="eastAsia"/>
          <w:lang w:val="en-US" w:eastAsia="zh-CN"/>
        </w:rPr>
        <w:t>5</w:t>
      </w:r>
      <w:r>
        <w:rPr>
          <w:rFonts w:hint="eastAsia"/>
        </w:rPr>
        <w:t>名</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84"/>
        <w:gridCol w:w="3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384" w:type="dxa"/>
          </w:tcPr>
          <w:p>
            <w:pPr>
              <w:autoSpaceDE w:val="0"/>
              <w:spacing w:line="430" w:lineRule="exact"/>
              <w:jc w:val="center"/>
              <w:rPr>
                <w:rFonts w:ascii="宋体" w:hAnsi="宋体" w:eastAsia="宋体" w:cs="宋体"/>
                <w:kern w:val="0"/>
                <w:sz w:val="24"/>
                <w:szCs w:val="24"/>
              </w:rPr>
            </w:pPr>
            <w:r>
              <w:rPr>
                <w:rFonts w:hint="eastAsia" w:ascii="宋体" w:hAnsi="宋体" w:eastAsia="宋体" w:cs="宋体"/>
                <w:kern w:val="0"/>
                <w:sz w:val="24"/>
                <w:szCs w:val="24"/>
              </w:rPr>
              <w:t>岗位</w:t>
            </w:r>
          </w:p>
        </w:tc>
        <w:tc>
          <w:tcPr>
            <w:tcW w:w="3870" w:type="dxa"/>
          </w:tcPr>
          <w:p>
            <w:pPr>
              <w:autoSpaceDE w:val="0"/>
              <w:spacing w:line="430" w:lineRule="exact"/>
              <w:jc w:val="center"/>
              <w:rPr>
                <w:rFonts w:ascii="宋体" w:hAnsi="宋体" w:eastAsia="宋体" w:cs="宋体"/>
                <w:kern w:val="0"/>
                <w:sz w:val="24"/>
                <w:szCs w:val="24"/>
              </w:rPr>
            </w:pPr>
            <w:r>
              <w:rPr>
                <w:rFonts w:hint="eastAsia" w:ascii="宋体" w:hAnsi="宋体" w:eastAsia="宋体" w:cs="宋体"/>
                <w:kern w:val="0"/>
                <w:sz w:val="24"/>
                <w:szCs w:val="24"/>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384" w:type="dxa"/>
          </w:tcPr>
          <w:p>
            <w:pPr>
              <w:autoSpaceDE w:val="0"/>
              <w:spacing w:line="430" w:lineRule="exact"/>
              <w:jc w:val="center"/>
              <w:rPr>
                <w:rFonts w:ascii="宋体" w:hAnsi="宋体" w:eastAsia="宋体" w:cs="宋体"/>
                <w:kern w:val="0"/>
                <w:sz w:val="24"/>
                <w:szCs w:val="24"/>
              </w:rPr>
            </w:pPr>
            <w:r>
              <w:rPr>
                <w:rFonts w:hint="eastAsia" w:ascii="宋体" w:hAnsi="宋体" w:eastAsia="宋体" w:cs="宋体"/>
                <w:kern w:val="0"/>
                <w:sz w:val="24"/>
                <w:szCs w:val="24"/>
              </w:rPr>
              <w:t>语文</w:t>
            </w:r>
          </w:p>
        </w:tc>
        <w:tc>
          <w:tcPr>
            <w:tcW w:w="3870" w:type="dxa"/>
          </w:tcPr>
          <w:p>
            <w:pPr>
              <w:autoSpaceDE w:val="0"/>
              <w:spacing w:line="43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384" w:type="dxa"/>
          </w:tcPr>
          <w:p>
            <w:pPr>
              <w:autoSpaceDE w:val="0"/>
              <w:spacing w:line="430" w:lineRule="exact"/>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数学</w:t>
            </w:r>
          </w:p>
        </w:tc>
        <w:tc>
          <w:tcPr>
            <w:tcW w:w="3870" w:type="dxa"/>
          </w:tcPr>
          <w:p>
            <w:pPr>
              <w:autoSpaceDE w:val="0"/>
              <w:spacing w:line="43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384" w:type="dxa"/>
          </w:tcPr>
          <w:p>
            <w:pPr>
              <w:autoSpaceDE w:val="0"/>
              <w:spacing w:line="43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英语</w:t>
            </w:r>
          </w:p>
        </w:tc>
        <w:tc>
          <w:tcPr>
            <w:tcW w:w="3870" w:type="dxa"/>
          </w:tcPr>
          <w:p>
            <w:pPr>
              <w:autoSpaceDE w:val="0"/>
              <w:spacing w:line="43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1</w:t>
            </w:r>
          </w:p>
        </w:tc>
      </w:tr>
    </w:tbl>
    <w:p>
      <w:pPr>
        <w:widowControl/>
        <w:ind w:firstLine="542" w:firstLineChars="200"/>
        <w:jc w:val="left"/>
        <w:rPr>
          <w:rFonts w:ascii="华文宋体" w:hAnsi="华文宋体" w:eastAsia="华文宋体" w:cs="宋体"/>
          <w:kern w:val="0"/>
          <w:sz w:val="24"/>
          <w:szCs w:val="24"/>
        </w:rPr>
      </w:pPr>
      <w:r>
        <w:rPr>
          <w:rFonts w:ascii="华文宋体" w:hAnsi="华文宋体" w:eastAsia="华文宋体" w:cs="宋体"/>
          <w:b/>
          <w:bCs/>
          <w:kern w:val="0"/>
          <w:sz w:val="27"/>
          <w:szCs w:val="27"/>
        </w:rPr>
        <w:t>四、招聘对象与条件</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 遵守国家法律、法规,无违纪处分及违法记录。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 身心健康，热爱教育事业，具备良好的教师职业道德素养、专业知识水平和教育教学技能，有继续学习和自我提升的意愿；肯吃苦耐劳，认同镇海中学“教育自觉”“学生在、老师在”等办学理念和“教育贵在成全”等教育价值追求。</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 具备岗位所需要的专业知识水平、教育教学能力和心理素质,愿意并有能力承担基础学科教学以外的学生活动或心理成长指导工作。</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 2023届、2024届普通高校本科及以上学历毕业生，不限生源和户籍。</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 年龄在35周岁以下(198</w:t>
      </w:r>
      <w:r>
        <w:rPr>
          <w:rFonts w:hint="eastAsia" w:ascii="宋体" w:hAnsi="宋体" w:eastAsia="宋体" w:cs="宋体"/>
          <w:sz w:val="24"/>
          <w:szCs w:val="24"/>
          <w:lang w:val="en-US" w:eastAsia="zh-CN"/>
        </w:rPr>
        <w:t>9</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及以后出生)的在职优秀教师，任教满五学年的需获地市级名优称号或教学业务比赛二等奖及以上；任教不满五学年的需获县市区级名优称号或教学业务比赛三等奖及以上。具有副高专业职称以上教师可放宽到45周岁以下(197</w:t>
      </w:r>
      <w:r>
        <w:rPr>
          <w:rFonts w:hint="eastAsia" w:ascii="宋体" w:hAnsi="宋体" w:eastAsia="宋体" w:cs="宋体"/>
          <w:sz w:val="24"/>
          <w:szCs w:val="24"/>
          <w:lang w:val="en-US" w:eastAsia="zh-CN"/>
        </w:rPr>
        <w:t>9</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日及以后出生)。</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 2023届、2024届毕业生具备同报考学科相对口的专业（详见附件1）；在职优秀教师具有与报考学科相匹配的教师资格证或职称证书(以本人已取得的最高层次职称证书为准)，专业不作要求。</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 未取得教师资格证的2023届、2024届毕业生要求在录用起一年内取得相应的教师资格证书(截止2025年7月31日)，届时未取得相应教师资格证书的人员解除聘用合同。符合上述报考条件现为嵊州市教师需取得所在学校同意方可报名。</w:t>
      </w:r>
    </w:p>
    <w:p>
      <w:pPr>
        <w:widowControl/>
        <w:ind w:left="541" w:hanging="542" w:hangingChars="200"/>
        <w:jc w:val="left"/>
        <w:rPr>
          <w:rFonts w:ascii="华文宋体" w:hAnsi="华文宋体" w:eastAsia="华文宋体" w:cs="宋体"/>
          <w:b/>
          <w:bCs/>
          <w:kern w:val="0"/>
          <w:sz w:val="27"/>
          <w:szCs w:val="27"/>
        </w:rPr>
      </w:pPr>
      <w:r>
        <w:rPr>
          <w:rFonts w:ascii="华文宋体" w:hAnsi="华文宋体" w:eastAsia="华文宋体" w:cs="宋体"/>
          <w:b/>
          <w:bCs/>
          <w:kern w:val="0"/>
          <w:sz w:val="27"/>
          <w:szCs w:val="27"/>
        </w:rPr>
        <w:t>五、招聘程序与办法</w:t>
      </w:r>
    </w:p>
    <w:p>
      <w:pPr>
        <w:widowControl/>
        <w:ind w:left="481" w:leftChars="229"/>
        <w:jc w:val="left"/>
        <w:rPr>
          <w:rFonts w:ascii="宋体" w:hAnsi="宋体" w:eastAsia="宋体" w:cs="Times New Roman"/>
          <w:b/>
          <w:bCs/>
          <w:color w:val="000000"/>
          <w:kern w:val="0"/>
          <w:sz w:val="24"/>
          <w:szCs w:val="24"/>
        </w:rPr>
      </w:pPr>
      <w:r>
        <w:rPr>
          <w:rFonts w:hint="eastAsia" w:ascii="宋体" w:hAnsi="宋体" w:eastAsia="宋体" w:cs="Times New Roman"/>
          <w:b/>
          <w:bCs/>
          <w:color w:val="000000"/>
          <w:kern w:val="0"/>
          <w:sz w:val="24"/>
          <w:szCs w:val="24"/>
        </w:rPr>
        <w:t>（一）报名</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招聘采用网上报名的方式。应聘者填写《镇海中学嵊州分校教师招聘报名表》(附件2)(报名表上的照片须为近期免冠正面证件照，jpg格式)，如高校期间荣获优秀毕业生、三好学生等荣誉、获得各类奖学金、竞赛等奖项及在职期间获得地市级以上名优称号、竞赛奖项的，在邮件中可附上证书原件或学校出具证明的图片文档，同时将报名材料清单(附件3)中所列材料原件扫描或拍照压缩打包(压缩包以“姓名+学科”命名)，发送到学校邮箱：zhzxszfx@163.com。报名截止时间为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20</w:t>
      </w:r>
      <w:r>
        <w:rPr>
          <w:rFonts w:hint="eastAsia" w:ascii="宋体" w:hAnsi="宋体" w:eastAsia="宋体" w:cs="宋体"/>
          <w:sz w:val="24"/>
          <w:szCs w:val="24"/>
        </w:rPr>
        <w:t>日。</w:t>
      </w:r>
    </w:p>
    <w:p>
      <w:pPr>
        <w:widowControl/>
        <w:ind w:firstLine="482" w:firstLineChars="200"/>
        <w:jc w:val="left"/>
        <w:rPr>
          <w:rFonts w:ascii="宋体" w:hAnsi="宋体" w:eastAsia="宋体" w:cs="Times New Roman"/>
          <w:b/>
          <w:bCs/>
          <w:color w:val="000000"/>
          <w:kern w:val="0"/>
          <w:sz w:val="24"/>
          <w:szCs w:val="24"/>
        </w:rPr>
      </w:pPr>
      <w:r>
        <w:rPr>
          <w:rFonts w:hint="eastAsia" w:ascii="宋体" w:hAnsi="宋体" w:eastAsia="宋体" w:cs="Times New Roman"/>
          <w:b/>
          <w:bCs/>
          <w:color w:val="000000"/>
          <w:kern w:val="0"/>
          <w:sz w:val="24"/>
          <w:szCs w:val="24"/>
        </w:rPr>
        <w:t>（二）资格确认</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应聘人员提供的个人信息必须真实有效，证件不全或提供的相关资料与报名资格条件不相符者不予通过。学校对资料齐全，符合要求的应聘人员进行资格确认后，进入测试环节。如岗位报名人数不足招聘指标3倍的，则核减或取消招聘指标。</w:t>
      </w:r>
    </w:p>
    <w:p>
      <w:pPr>
        <w:widowControl/>
        <w:ind w:firstLine="482" w:firstLineChars="200"/>
        <w:jc w:val="left"/>
        <w:rPr>
          <w:rFonts w:ascii="宋体" w:hAnsi="宋体" w:eastAsia="宋体" w:cs="Times New Roman"/>
          <w:b/>
          <w:bCs/>
          <w:color w:val="000000"/>
          <w:kern w:val="0"/>
          <w:sz w:val="24"/>
          <w:szCs w:val="24"/>
        </w:rPr>
      </w:pPr>
      <w:r>
        <w:rPr>
          <w:rFonts w:hint="eastAsia" w:ascii="宋体" w:hAnsi="宋体" w:eastAsia="宋体" w:cs="Times New Roman"/>
          <w:b/>
          <w:bCs/>
          <w:color w:val="000000"/>
          <w:kern w:val="0"/>
          <w:sz w:val="24"/>
          <w:szCs w:val="24"/>
        </w:rPr>
        <w:t>（三）测试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通过资格确认的应聘者将收到相应的电子邮件，并需根据邮件要求及时回复，准时参加测试(未按要求回复邮件者将不再另行通知并视作放弃)。</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测试含教育教学素养评估和教育教学能力测试环节：</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 教育教学素养评估</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教育教学素养评估形式以面谈为主，主要考察应聘者的综合素养(包括教育教学观念、举止仪表、语言表达、综合分析、心理素质、才艺特长等)。满分100分，不足60分的淘汰。</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 教育教学能力测试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通过教育教学素养评估的应聘者进入教育教学能力测试。教育教学能力测试采用学科专业测试和课堂实操测试相结合的形式进行。</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（1）学科专业测试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学科专业测试主要考察应聘者的专业知识。学科专业测试后，按学科划定测试成绩合格分。学科专业测试满分为100分。应聘者测试成绩平均分在60分以上，则60分为合格成绩;若测试成绩平均分在60分以下的，则以平均分为合格成绩。学科专业测试成绩不合格者不得进入课堂实操测试环节。应聘人员凭本人身份证参加学科专业测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（2）课堂实操测试</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对合格考生根据学科专业测试成绩，从高分到低分按1:3的比例确定入围课堂实操测试人员(不足的按实际人数)。入围课堂实操测试人员放弃或被取消资格，在学科专业测试合格者中,按成绩从高到低依次递补。</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课堂实操测试形式为上课或试讲(说课)，该环节主要考察和测评应聘者的教育教学能力(包括专业知识、课堂教学、操作技能等)。面试满分为100分,不到60分为不合格，面试不合格者直接淘汰。</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（3）教育教学能力成绩计算</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教育教学能力成绩=学科专业测试成绩的40%+课堂实操测试成绩的60%。</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 总成绩计算方式及签订就业协议书</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总成绩=教育教学素养评估成绩的30%+教育教学能力测试成绩的70%。根据总成绩，从高分到低分按招聘指标等额确定签约对象。如遇总分相同的,教育教学能力测试成绩高者为签约对象。学校与签约对象及时签订就业协议书。除协议书约定的条款外，如拟录用者考察、体检不合格的，协议自动解除。</w:t>
      </w:r>
    </w:p>
    <w:p>
      <w:pPr>
        <w:widowControl/>
        <w:ind w:firstLine="482" w:firstLineChars="200"/>
        <w:jc w:val="left"/>
        <w:rPr>
          <w:rFonts w:ascii="宋体" w:hAnsi="宋体" w:eastAsia="宋体" w:cs="Times New Roman"/>
          <w:b/>
          <w:bCs/>
          <w:color w:val="000000"/>
          <w:kern w:val="0"/>
          <w:sz w:val="24"/>
          <w:szCs w:val="24"/>
        </w:rPr>
      </w:pPr>
      <w:r>
        <w:rPr>
          <w:rFonts w:hint="eastAsia" w:ascii="宋体" w:hAnsi="宋体" w:eastAsia="宋体" w:cs="Times New Roman"/>
          <w:b/>
          <w:bCs/>
          <w:color w:val="000000"/>
          <w:kern w:val="0"/>
          <w:sz w:val="24"/>
          <w:szCs w:val="24"/>
        </w:rPr>
        <w:t>（四）体检</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体检人数与录取岗位数按1:1确定。体检参照公务员体检标准执行。体检不合格者淘汰。不按规定时间、地点参加体检的,视作放弃体检。体检费用由考生自理。体检具体时间及地点另行通知。</w:t>
      </w:r>
    </w:p>
    <w:p>
      <w:pPr>
        <w:widowControl/>
        <w:ind w:firstLine="482" w:firstLineChars="200"/>
        <w:jc w:val="left"/>
        <w:rPr>
          <w:rFonts w:hint="eastAsia" w:ascii="宋体" w:hAnsi="宋体" w:eastAsia="宋体" w:cs="Times New Roman"/>
          <w:b/>
          <w:bCs/>
          <w:color w:val="000000"/>
          <w:kern w:val="0"/>
          <w:sz w:val="24"/>
          <w:szCs w:val="24"/>
          <w:lang w:val="en-US" w:eastAsia="zh-CN"/>
        </w:rPr>
      </w:pPr>
      <w:r>
        <w:rPr>
          <w:rFonts w:hint="eastAsia" w:ascii="宋体" w:hAnsi="宋体" w:eastAsia="宋体" w:cs="Times New Roman"/>
          <w:b/>
          <w:bCs/>
          <w:color w:val="000000"/>
          <w:kern w:val="0"/>
          <w:sz w:val="24"/>
          <w:szCs w:val="24"/>
        </w:rPr>
        <w:t>（五）考</w:t>
      </w:r>
      <w:r>
        <w:rPr>
          <w:rFonts w:hint="eastAsia" w:ascii="宋体" w:hAnsi="宋体" w:eastAsia="宋体" w:cs="Times New Roman"/>
          <w:b/>
          <w:bCs/>
          <w:color w:val="000000"/>
          <w:kern w:val="0"/>
          <w:sz w:val="24"/>
          <w:szCs w:val="24"/>
          <w:lang w:val="en-US" w:eastAsia="zh-CN"/>
        </w:rPr>
        <w:t>察</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考察参照公务员考察办法执行，主要考察应聘者的政治思想表现、道德品质、教师职业意识、业务能力、工作实绩等。</w:t>
      </w:r>
    </w:p>
    <w:p>
      <w:pPr>
        <w:widowControl/>
        <w:ind w:firstLine="482" w:firstLineChars="200"/>
        <w:jc w:val="left"/>
        <w:rPr>
          <w:rFonts w:ascii="宋体" w:hAnsi="宋体" w:eastAsia="宋体" w:cs="Times New Roman"/>
          <w:b/>
          <w:bCs/>
          <w:color w:val="000000"/>
          <w:kern w:val="0"/>
          <w:sz w:val="24"/>
          <w:szCs w:val="24"/>
        </w:rPr>
      </w:pPr>
      <w:r>
        <w:rPr>
          <w:rFonts w:hint="eastAsia" w:ascii="宋体" w:hAnsi="宋体" w:eastAsia="宋体" w:cs="Times New Roman"/>
          <w:b/>
          <w:bCs/>
          <w:color w:val="000000"/>
          <w:kern w:val="0"/>
          <w:sz w:val="24"/>
          <w:szCs w:val="24"/>
        </w:rPr>
        <w:t>（六）确定录用人选</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体检、考察合格的签约人员名单报嵊州市教体局、市人力资源和社会保障局办理拟录用人员核准手续。市教体局、市人力资源和社会保障局核准后，将拟录用人员名单在嵊州市人民政府门户网站进行为期7个工作日的公示。公示无异议的，于2024年8月份办理事业录用手续。不能在2024年7月31日前取得规定学历学位或不能在规定时间内取得相应学科的教师资格证等相关证书的，取消录用资格；公示期间有异议的，经核实不具备录用条件的，取消录用资格。</w:t>
      </w:r>
    </w:p>
    <w:p>
      <w:pPr>
        <w:widowControl/>
        <w:ind w:left="538" w:leftChars="256"/>
        <w:jc w:val="left"/>
        <w:rPr>
          <w:rFonts w:ascii="华文宋体" w:hAnsi="华文宋体" w:eastAsia="华文宋体" w:cs="宋体"/>
          <w:b/>
          <w:bCs/>
          <w:kern w:val="0"/>
          <w:sz w:val="27"/>
          <w:szCs w:val="27"/>
        </w:rPr>
      </w:pPr>
      <w:r>
        <w:rPr>
          <w:rFonts w:ascii="华文宋体" w:hAnsi="华文宋体" w:eastAsia="华文宋体" w:cs="宋体"/>
          <w:b/>
          <w:bCs/>
          <w:kern w:val="0"/>
          <w:sz w:val="27"/>
          <w:szCs w:val="27"/>
        </w:rPr>
        <w:t>六、其他事项</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 拟录用人员正式报到前，如发现个人档案不符合报考条件或录用规定的,取消录用资格。拟录用人员逾期不按规定报到的取消录用资格。</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 因在体检、考察中放弃或体检、考察不合格而产生的缺额，是否在报考该岗位的合格人员中按高分到低分递补经招聘单位研究后决定。</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 录用人员按有关规定与学校签订聘用合同，并约定试用期，试用期满经考核合格，能胜任教育教学工作的，与学校签订正式聘用合同。如试用期满经考核不能胜任教育教学工作或一年内(截止2025年7月31日)不能取得相应教师资格证书的，解除聘用关系。</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4. 本次公开招聘的信息均在嵊州市人民政府门户网站(http://www.szzj.gov.cn)公布。</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5. 本次公开招聘咨询电话： </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13958221925（陈老师）</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    13588519572（黄老师）</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6. 为接受社会监督，嵊州市教育体育局设立监督电话：0575-83278265（党建科）。</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7. 附件</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1.镇海中学嵊州分校公开招聘事业编制教师需求计划表。</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2.镇海中学嵊州分校202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春</w:t>
      </w:r>
      <w:r>
        <w:rPr>
          <w:rFonts w:hint="eastAsia" w:ascii="宋体" w:hAnsi="宋体" w:eastAsia="宋体" w:cs="宋体"/>
          <w:sz w:val="24"/>
          <w:szCs w:val="24"/>
        </w:rPr>
        <w:t>季教师招聘报名表。</w:t>
      </w:r>
    </w:p>
    <w:p>
      <w:pPr>
        <w:widowControl/>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3.报名材料清单。</w:t>
      </w:r>
    </w:p>
    <w:p>
      <w:pPr>
        <w:widowControl/>
        <w:spacing w:line="360" w:lineRule="auto"/>
        <w:ind w:firstLine="480" w:firstLineChars="200"/>
        <w:jc w:val="right"/>
        <w:rPr>
          <w:rFonts w:ascii="宋体" w:hAnsi="宋体" w:eastAsia="宋体" w:cs="宋体"/>
          <w:sz w:val="24"/>
          <w:szCs w:val="24"/>
        </w:rPr>
      </w:pPr>
      <w:r>
        <w:rPr>
          <w:rFonts w:hint="eastAsia" w:ascii="宋体" w:hAnsi="宋体" w:eastAsia="宋体" w:cs="宋体"/>
          <w:sz w:val="24"/>
          <w:szCs w:val="24"/>
        </w:rPr>
        <w:t>镇海中学嵊州分校</w:t>
      </w:r>
    </w:p>
    <w:p>
      <w:pPr>
        <w:widowControl/>
        <w:spacing w:line="360" w:lineRule="auto"/>
        <w:ind w:firstLine="480" w:firstLineChars="200"/>
        <w:jc w:val="right"/>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6</w:t>
      </w:r>
      <w:r>
        <w:rPr>
          <w:rFonts w:hint="eastAsia" w:ascii="宋体" w:hAnsi="宋体" w:eastAsia="宋体" w:cs="宋体"/>
          <w:sz w:val="24"/>
          <w:szCs w:val="24"/>
        </w:rPr>
        <w:t>日</w:t>
      </w:r>
    </w:p>
    <w:p>
      <w:pPr>
        <w:widowControl/>
        <w:spacing w:line="360" w:lineRule="auto"/>
        <w:ind w:firstLine="480" w:firstLineChars="200"/>
        <w:rPr>
          <w:rFonts w:ascii="宋体" w:hAnsi="宋体" w:eastAsia="宋体" w:cs="宋体"/>
          <w:sz w:val="24"/>
          <w:szCs w:val="24"/>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auto"/>
        <w:rPr>
          <w:rFonts w:hint="eastAsia" w:ascii="仿宋_GB2312" w:hAnsi="仿宋_GB2312"/>
          <w:b/>
          <w:bCs/>
          <w:sz w:val="28"/>
          <w:szCs w:val="28"/>
        </w:rPr>
      </w:pPr>
    </w:p>
    <w:p>
      <w:pPr>
        <w:spacing w:line="360" w:lineRule="auto"/>
        <w:rPr>
          <w:rFonts w:hint="eastAsia" w:ascii="仿宋_GB2312" w:hAnsi="仿宋_GB2312"/>
          <w:b/>
          <w:bCs/>
          <w:sz w:val="28"/>
          <w:szCs w:val="28"/>
        </w:rPr>
      </w:pPr>
      <w:bookmarkStart w:id="0" w:name="_GoBack"/>
      <w:bookmarkEnd w:id="0"/>
    </w:p>
    <w:p>
      <w:pPr>
        <w:spacing w:line="360" w:lineRule="auto"/>
        <w:rPr>
          <w:rFonts w:ascii="仿宋_GB2312" w:hAnsi="仿宋_GB2312"/>
          <w:b/>
          <w:bCs/>
          <w:sz w:val="28"/>
          <w:szCs w:val="28"/>
        </w:rPr>
      </w:pPr>
      <w:r>
        <w:rPr>
          <w:rFonts w:hint="eastAsia" w:ascii="仿宋_GB2312" w:hAnsi="仿宋_GB2312"/>
          <w:b/>
          <w:bCs/>
          <w:sz w:val="28"/>
          <w:szCs w:val="28"/>
        </w:rPr>
        <w:t>附件1</w:t>
      </w:r>
    </w:p>
    <w:p>
      <w:pPr>
        <w:tabs>
          <w:tab w:val="left" w:pos="6810"/>
        </w:tabs>
        <w:spacing w:line="360" w:lineRule="auto"/>
        <w:ind w:right="360"/>
        <w:jc w:val="center"/>
        <w:rPr>
          <w:rFonts w:ascii="方正小标宋简体" w:hAnsi="方正小标宋简体" w:eastAsia="方正小标宋简体" w:cs="方正小标宋简体"/>
          <w:color w:val="000000"/>
          <w:sz w:val="32"/>
          <w:szCs w:val="32"/>
        </w:rPr>
      </w:pPr>
      <w:r>
        <w:rPr>
          <w:rFonts w:hint="eastAsia" w:ascii="方正小标宋简体" w:hAnsi="方正小标宋简体" w:eastAsia="方正小标宋简体" w:cs="方正小标宋简体"/>
          <w:bCs/>
          <w:sz w:val="32"/>
          <w:szCs w:val="32"/>
        </w:rPr>
        <w:t>镇海中学嵊州分校公开招聘事业编制教师</w:t>
      </w:r>
      <w:r>
        <w:rPr>
          <w:rFonts w:hint="eastAsia" w:ascii="方正小标宋简体" w:hAnsi="方正小标宋简体" w:eastAsia="方正小标宋简体" w:cs="方正小标宋简体"/>
          <w:color w:val="000000"/>
          <w:sz w:val="32"/>
          <w:szCs w:val="32"/>
        </w:rPr>
        <w:t>需求计划表</w:t>
      </w:r>
    </w:p>
    <w:p>
      <w:pPr>
        <w:tabs>
          <w:tab w:val="left" w:pos="6810"/>
        </w:tabs>
        <w:spacing w:line="360" w:lineRule="auto"/>
        <w:ind w:right="360"/>
        <w:jc w:val="center"/>
        <w:rPr>
          <w:rFonts w:ascii="方正小标宋简体" w:hAnsi="方正小标宋简体" w:eastAsia="方正小标宋简体" w:cs="方正小标宋简体"/>
          <w:color w:val="000000"/>
          <w:sz w:val="36"/>
          <w:szCs w:val="36"/>
        </w:rPr>
      </w:pPr>
    </w:p>
    <w:tbl>
      <w:tblPr>
        <w:tblStyle w:val="3"/>
        <w:tblW w:w="8859"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1303"/>
        <w:gridCol w:w="1035"/>
        <w:gridCol w:w="652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10" w:hRule="atLeast"/>
          <w:jc w:val="center"/>
        </w:trPr>
        <w:tc>
          <w:tcPr>
            <w:tcW w:w="1303" w:type="dxa"/>
            <w:vAlign w:val="center"/>
          </w:tcPr>
          <w:p>
            <w:pPr>
              <w:widowControl/>
              <w:jc w:val="center"/>
              <w:rPr>
                <w:rFonts w:ascii="微软雅黑" w:hAnsi="微软雅黑" w:eastAsia="微软雅黑"/>
                <w:b/>
                <w:bCs/>
                <w:color w:val="000000"/>
                <w:kern w:val="0"/>
              </w:rPr>
            </w:pPr>
            <w:r>
              <w:rPr>
                <w:rFonts w:hint="eastAsia" w:ascii="微软雅黑" w:hAnsi="微软雅黑" w:eastAsia="微软雅黑" w:cs="宋体"/>
                <w:b/>
                <w:bCs/>
                <w:color w:val="000000"/>
                <w:kern w:val="0"/>
              </w:rPr>
              <w:t>招聘岗位</w:t>
            </w:r>
          </w:p>
        </w:tc>
        <w:tc>
          <w:tcPr>
            <w:tcW w:w="1035" w:type="dxa"/>
            <w:vAlign w:val="center"/>
          </w:tcPr>
          <w:p>
            <w:pPr>
              <w:widowControl/>
              <w:jc w:val="center"/>
              <w:rPr>
                <w:rFonts w:ascii="微软雅黑" w:hAnsi="微软雅黑" w:eastAsia="微软雅黑"/>
                <w:b/>
                <w:bCs/>
                <w:color w:val="000000"/>
                <w:kern w:val="0"/>
              </w:rPr>
            </w:pPr>
            <w:r>
              <w:rPr>
                <w:rFonts w:hint="eastAsia" w:ascii="微软雅黑" w:hAnsi="微软雅黑" w:eastAsia="微软雅黑" w:cs="宋体"/>
                <w:b/>
                <w:bCs/>
                <w:color w:val="000000"/>
                <w:kern w:val="0"/>
              </w:rPr>
              <w:t>岗位数</w:t>
            </w:r>
          </w:p>
        </w:tc>
        <w:tc>
          <w:tcPr>
            <w:tcW w:w="6521" w:type="dxa"/>
            <w:vAlign w:val="center"/>
          </w:tcPr>
          <w:p>
            <w:pPr>
              <w:widowControl/>
              <w:jc w:val="center"/>
              <w:rPr>
                <w:rFonts w:ascii="微软雅黑" w:hAnsi="微软雅黑" w:eastAsia="微软雅黑"/>
                <w:b/>
                <w:bCs/>
                <w:color w:val="000000"/>
                <w:kern w:val="0"/>
              </w:rPr>
            </w:pPr>
            <w:r>
              <w:rPr>
                <w:rFonts w:hint="eastAsia" w:ascii="微软雅黑" w:hAnsi="微软雅黑" w:eastAsia="微软雅黑" w:cs="宋体"/>
                <w:b/>
                <w:bCs/>
                <w:color w:val="000000"/>
                <w:kern w:val="0"/>
              </w:rPr>
              <w:t>招聘专业要求</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21" w:hRule="atLeast"/>
          <w:jc w:val="center"/>
        </w:trPr>
        <w:tc>
          <w:tcPr>
            <w:tcW w:w="1303" w:type="dxa"/>
            <w:shd w:val="clear" w:color="CCFFCC" w:fill="FFFFFF"/>
            <w:vAlign w:val="center"/>
          </w:tcPr>
          <w:p>
            <w:pPr>
              <w:widowControl/>
              <w:jc w:val="center"/>
              <w:rPr>
                <w:rFonts w:ascii="微软雅黑" w:hAnsi="微软雅黑" w:eastAsia="微软雅黑" w:cs="微软雅黑"/>
                <w:b/>
                <w:bCs/>
              </w:rPr>
            </w:pPr>
            <w:r>
              <w:rPr>
                <w:rFonts w:hint="eastAsia" w:ascii="微软雅黑" w:hAnsi="微软雅黑" w:eastAsia="微软雅黑" w:cs="微软雅黑"/>
                <w:b/>
                <w:bCs/>
              </w:rPr>
              <w:t>语文</w:t>
            </w:r>
          </w:p>
        </w:tc>
        <w:tc>
          <w:tcPr>
            <w:tcW w:w="1035" w:type="dxa"/>
            <w:shd w:val="clear" w:color="CCFFCC" w:fill="FFFFFF"/>
            <w:vAlign w:val="center"/>
          </w:tcPr>
          <w:p>
            <w:pPr>
              <w:widowControl/>
              <w:jc w:val="center"/>
              <w:rPr>
                <w:rFonts w:hint="eastAsia" w:ascii="微软雅黑" w:hAnsi="微软雅黑" w:eastAsia="微软雅黑" w:cs="微软雅黑"/>
                <w:lang w:eastAsia="zh-CN"/>
              </w:rPr>
            </w:pPr>
            <w:r>
              <w:rPr>
                <w:rFonts w:hint="eastAsia" w:ascii="微软雅黑" w:hAnsi="微软雅黑" w:eastAsia="微软雅黑" w:cs="微软雅黑"/>
                <w:lang w:val="en-US" w:eastAsia="zh-CN"/>
              </w:rPr>
              <w:t>2</w:t>
            </w:r>
          </w:p>
        </w:tc>
        <w:tc>
          <w:tcPr>
            <w:tcW w:w="6521" w:type="dxa"/>
            <w:shd w:val="clear" w:color="CCFFCC" w:fill="FFFFFF"/>
            <w:vAlign w:val="center"/>
          </w:tcPr>
          <w:p>
            <w:pPr>
              <w:widowControl/>
              <w:jc w:val="left"/>
              <w:rPr>
                <w:rFonts w:ascii="微软雅黑" w:hAnsi="微软雅黑" w:eastAsia="微软雅黑" w:cs="微软雅黑"/>
              </w:rPr>
            </w:pPr>
            <w:r>
              <w:rPr>
                <w:rFonts w:hint="eastAsia" w:ascii="微软雅黑" w:hAnsi="微软雅黑" w:eastAsia="微软雅黑" w:cs="微软雅黑"/>
                <w:color w:val="000000"/>
              </w:rPr>
              <w:t>汉语言文学，汉语言，</w:t>
            </w:r>
            <w:r>
              <w:rPr>
                <w:rFonts w:hint="eastAsia" w:ascii="微软雅黑" w:hAnsi="微软雅黑" w:eastAsia="微软雅黑" w:cs="微软雅黑"/>
                <w:bCs/>
                <w:color w:val="000000"/>
                <w:kern w:val="0"/>
              </w:rPr>
              <w:t>应用语言学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506" w:hRule="atLeast"/>
          <w:jc w:val="center"/>
        </w:trPr>
        <w:tc>
          <w:tcPr>
            <w:tcW w:w="1303" w:type="dxa"/>
            <w:shd w:val="clear" w:color="CCFFCC" w:fill="FFFFFF"/>
            <w:vAlign w:val="center"/>
          </w:tcPr>
          <w:p>
            <w:pPr>
              <w:widowControl/>
              <w:jc w:val="center"/>
              <w:rPr>
                <w:rFonts w:ascii="微软雅黑" w:hAnsi="微软雅黑" w:eastAsia="微软雅黑" w:cs="微软雅黑"/>
                <w:b/>
                <w:bCs/>
              </w:rPr>
            </w:pPr>
            <w:r>
              <w:rPr>
                <w:rFonts w:hint="eastAsia" w:ascii="微软雅黑" w:hAnsi="微软雅黑" w:eastAsia="微软雅黑" w:cs="微软雅黑"/>
                <w:b/>
                <w:bCs/>
              </w:rPr>
              <w:t>数学</w:t>
            </w:r>
          </w:p>
        </w:tc>
        <w:tc>
          <w:tcPr>
            <w:tcW w:w="1035" w:type="dxa"/>
            <w:shd w:val="clear" w:color="CCFFCC" w:fill="FFFFFF"/>
            <w:vAlign w:val="center"/>
          </w:tcPr>
          <w:p>
            <w:pPr>
              <w:widowControl/>
              <w:jc w:val="center"/>
              <w:rPr>
                <w:rFonts w:hint="eastAsia" w:ascii="微软雅黑" w:hAnsi="微软雅黑" w:eastAsia="微软雅黑" w:cs="微软雅黑"/>
                <w:lang w:eastAsia="zh-CN"/>
              </w:rPr>
            </w:pPr>
            <w:r>
              <w:rPr>
                <w:rFonts w:hint="eastAsia" w:ascii="微软雅黑" w:hAnsi="微软雅黑" w:eastAsia="微软雅黑" w:cs="微软雅黑"/>
                <w:lang w:val="en-US" w:eastAsia="zh-CN"/>
              </w:rPr>
              <w:t>2</w:t>
            </w:r>
          </w:p>
        </w:tc>
        <w:tc>
          <w:tcPr>
            <w:tcW w:w="6521" w:type="dxa"/>
            <w:shd w:val="clear" w:color="CCFFCC" w:fill="FFFFFF"/>
            <w:vAlign w:val="center"/>
          </w:tcPr>
          <w:p>
            <w:pPr>
              <w:widowControl/>
              <w:jc w:val="left"/>
              <w:rPr>
                <w:rFonts w:ascii="微软雅黑" w:hAnsi="微软雅黑" w:eastAsia="微软雅黑" w:cs="微软雅黑"/>
              </w:rPr>
            </w:pPr>
            <w:r>
              <w:rPr>
                <w:rFonts w:hint="eastAsia" w:ascii="微软雅黑" w:hAnsi="微软雅黑" w:eastAsia="微软雅黑" w:cs="微软雅黑"/>
                <w:color w:val="000000"/>
              </w:rPr>
              <w:t>数学与应用数学，数理基础科学，信息与计算科学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108" w:type="dxa"/>
            <w:bottom w:w="0" w:type="dxa"/>
            <w:right w:w="108" w:type="dxa"/>
          </w:tblCellMar>
        </w:tblPrEx>
        <w:trPr>
          <w:trHeight w:val="461" w:hRule="atLeast"/>
          <w:jc w:val="center"/>
        </w:trPr>
        <w:tc>
          <w:tcPr>
            <w:tcW w:w="1303" w:type="dxa"/>
            <w:shd w:val="clear" w:color="CCFFCC" w:fill="FFFFFF"/>
            <w:vAlign w:val="center"/>
          </w:tcPr>
          <w:p>
            <w:pPr>
              <w:widowControl/>
              <w:jc w:val="center"/>
              <w:rPr>
                <w:rFonts w:ascii="微软雅黑" w:hAnsi="微软雅黑" w:eastAsia="微软雅黑" w:cs="微软雅黑"/>
                <w:b/>
                <w:bCs/>
              </w:rPr>
            </w:pPr>
            <w:r>
              <w:rPr>
                <w:rFonts w:hint="eastAsia" w:ascii="微软雅黑" w:hAnsi="微软雅黑" w:eastAsia="微软雅黑" w:cs="微软雅黑"/>
                <w:b/>
                <w:bCs/>
              </w:rPr>
              <w:t>英语</w:t>
            </w:r>
          </w:p>
        </w:tc>
        <w:tc>
          <w:tcPr>
            <w:tcW w:w="1035" w:type="dxa"/>
            <w:shd w:val="clear" w:color="CCFFCC" w:fill="FFFFFF"/>
            <w:vAlign w:val="center"/>
          </w:tcPr>
          <w:p>
            <w:pPr>
              <w:widowControl/>
              <w:jc w:val="center"/>
              <w:rPr>
                <w:rFonts w:hint="eastAsia" w:ascii="微软雅黑" w:hAnsi="微软雅黑" w:eastAsia="微软雅黑" w:cs="微软雅黑"/>
                <w:lang w:eastAsia="zh-CN"/>
              </w:rPr>
            </w:pPr>
            <w:r>
              <w:rPr>
                <w:rFonts w:hint="eastAsia" w:ascii="微软雅黑" w:hAnsi="微软雅黑" w:eastAsia="微软雅黑" w:cs="微软雅黑"/>
                <w:lang w:val="en-US" w:eastAsia="zh-CN"/>
              </w:rPr>
              <w:t>1</w:t>
            </w:r>
          </w:p>
        </w:tc>
        <w:tc>
          <w:tcPr>
            <w:tcW w:w="6521" w:type="dxa"/>
            <w:shd w:val="clear" w:color="CCFFCC" w:fill="FFFFFF"/>
            <w:vAlign w:val="center"/>
          </w:tcPr>
          <w:p>
            <w:pPr>
              <w:widowControl/>
              <w:jc w:val="left"/>
              <w:rPr>
                <w:rFonts w:ascii="微软雅黑" w:hAnsi="微软雅黑" w:eastAsia="微软雅黑" w:cs="微软雅黑"/>
              </w:rPr>
            </w:pPr>
            <w:r>
              <w:rPr>
                <w:rFonts w:hint="eastAsia" w:ascii="微软雅黑" w:hAnsi="微软雅黑" w:eastAsia="微软雅黑" w:cs="微软雅黑"/>
              </w:rPr>
              <w:t>英语，翻译</w:t>
            </w:r>
          </w:p>
        </w:tc>
      </w:tr>
    </w:tbl>
    <w:p>
      <w:pPr>
        <w:spacing w:line="360" w:lineRule="auto"/>
        <w:ind w:firstLine="200" w:firstLineChars="100"/>
        <w:rPr>
          <w:rFonts w:ascii="微软雅黑" w:hAnsi="微软雅黑" w:eastAsia="微软雅黑" w:cs="宋体"/>
          <w:color w:val="000000"/>
          <w:sz w:val="20"/>
          <w:szCs w:val="20"/>
        </w:rPr>
      </w:pPr>
      <w:r>
        <w:rPr>
          <w:rFonts w:hint="eastAsia" w:ascii="微软雅黑" w:hAnsi="微软雅黑" w:eastAsia="微软雅黑" w:cs="宋体"/>
          <w:color w:val="000000"/>
          <w:sz w:val="20"/>
          <w:szCs w:val="20"/>
        </w:rPr>
        <w:t>注：历届生具有与报考学科相匹配的教师资格证或职称证书(以本人已取得的最高层次职称证书为准）</w:t>
      </w:r>
    </w:p>
    <w:p>
      <w:pPr>
        <w:spacing w:line="360" w:lineRule="auto"/>
        <w:rPr>
          <w:rFonts w:ascii="仿宋_GB2312" w:hAnsi="仿宋_GB2312"/>
          <w:b/>
          <w:bCs/>
          <w:sz w:val="28"/>
          <w:szCs w:val="28"/>
        </w:rPr>
      </w:pPr>
    </w:p>
    <w:p>
      <w:pPr>
        <w:spacing w:line="360" w:lineRule="auto"/>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exact"/>
        <w:jc w:val="left"/>
        <w:rPr>
          <w:rFonts w:ascii="仿宋_GB2312" w:hAnsi="仿宋_GB2312"/>
          <w:b/>
          <w:bCs/>
          <w:sz w:val="28"/>
          <w:szCs w:val="28"/>
        </w:rPr>
      </w:pPr>
    </w:p>
    <w:p>
      <w:pPr>
        <w:spacing w:line="360" w:lineRule="auto"/>
        <w:rPr>
          <w:rFonts w:ascii="仿宋_GB2312"/>
          <w:sz w:val="24"/>
          <w:szCs w:val="24"/>
        </w:rPr>
      </w:pPr>
      <w:r>
        <w:rPr>
          <w:rFonts w:ascii="仿宋_GB2312" w:hAnsi="仿宋_GB2312"/>
          <w:b/>
          <w:bCs/>
          <w:sz w:val="28"/>
          <w:szCs w:val="28"/>
        </w:rPr>
        <w:t>附件</w:t>
      </w:r>
      <w:r>
        <w:rPr>
          <w:rFonts w:hint="eastAsia" w:ascii="仿宋_GB2312" w:hAnsi="仿宋_GB2312"/>
          <w:b/>
          <w:bCs/>
          <w:sz w:val="28"/>
          <w:szCs w:val="28"/>
        </w:rPr>
        <w:t>2</w:t>
      </w:r>
    </w:p>
    <w:p>
      <w:pPr>
        <w:jc w:val="center"/>
        <w:rPr>
          <w:rFonts w:ascii="方正小标宋简体" w:hAnsi="方正小标宋简体" w:cs="宋体"/>
          <w:sz w:val="40"/>
          <w:szCs w:val="40"/>
        </w:rPr>
      </w:pPr>
      <w:r>
        <w:rPr>
          <w:rFonts w:ascii="方正小标宋简体" w:hAnsi="方正小标宋简体" w:cs="宋体"/>
          <w:sz w:val="40"/>
          <w:szCs w:val="40"/>
        </w:rPr>
        <w:t>镇海中学嵊州分校教师招聘报名表</w:t>
      </w:r>
    </w:p>
    <w:p>
      <w:pPr>
        <w:jc w:val="center"/>
        <w:rPr>
          <w:rFonts w:ascii="方正小标宋简体" w:hAnsi="宋体" w:cs="宋体"/>
          <w:sz w:val="22"/>
        </w:rPr>
      </w:pPr>
    </w:p>
    <w:tbl>
      <w:tblPr>
        <w:tblStyle w:val="3"/>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4"/>
        <w:gridCol w:w="1559"/>
        <w:gridCol w:w="453"/>
        <w:gridCol w:w="965"/>
        <w:gridCol w:w="850"/>
        <w:gridCol w:w="1134"/>
        <w:gridCol w:w="1134"/>
        <w:gridCol w:w="453"/>
        <w:gridCol w:w="451"/>
        <w:gridCol w:w="675"/>
        <w:gridCol w:w="1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性别</w:t>
            </w: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籍贯</w:t>
            </w:r>
          </w:p>
        </w:tc>
        <w:tc>
          <w:tcPr>
            <w:tcW w:w="90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749" w:type="dxa"/>
            <w:gridSpan w:val="2"/>
            <w:vMerge w:val="restart"/>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出生年月</w:t>
            </w: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政治面貌</w:t>
            </w: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户籍</w:t>
            </w:r>
          </w:p>
        </w:tc>
        <w:tc>
          <w:tcPr>
            <w:tcW w:w="90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749" w:type="dxa"/>
            <w:gridSpan w:val="2"/>
            <w:vMerge w:val="continue"/>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联系电话</w:t>
            </w: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高中</w:t>
            </w:r>
          </w:p>
          <w:p>
            <w:pPr>
              <w:jc w:val="center"/>
              <w:rPr>
                <w:rFonts w:ascii="宋体" w:hAnsi="宋体" w:eastAsia="宋体" w:cs="Times New Roman"/>
                <w:sz w:val="24"/>
                <w:szCs w:val="24"/>
              </w:rPr>
            </w:pPr>
            <w:r>
              <w:rPr>
                <w:rFonts w:hint="eastAsia" w:ascii="宋体" w:hAnsi="宋体" w:eastAsia="宋体" w:cs="Times New Roman"/>
                <w:sz w:val="24"/>
                <w:szCs w:val="24"/>
              </w:rPr>
              <w:t>毕业学校</w:t>
            </w: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34" w:type="dxa"/>
            <w:tcBorders>
              <w:top w:val="single" w:color="auto" w:sz="4" w:space="0"/>
              <w:left w:val="nil"/>
              <w:bottom w:val="nil"/>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生源地</w:t>
            </w:r>
          </w:p>
        </w:tc>
        <w:tc>
          <w:tcPr>
            <w:tcW w:w="90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749" w:type="dxa"/>
            <w:gridSpan w:val="2"/>
            <w:vMerge w:val="continue"/>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电子邮箱</w:t>
            </w:r>
          </w:p>
        </w:tc>
        <w:tc>
          <w:tcPr>
            <w:tcW w:w="2977"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850"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家庭住址</w:t>
            </w:r>
          </w:p>
        </w:tc>
        <w:tc>
          <w:tcPr>
            <w:tcW w:w="3172" w:type="dxa"/>
            <w:gridSpan w:val="4"/>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749" w:type="dxa"/>
            <w:gridSpan w:val="2"/>
            <w:vMerge w:val="continue"/>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学历</w:t>
            </w:r>
          </w:p>
        </w:tc>
        <w:tc>
          <w:tcPr>
            <w:tcW w:w="2012"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时间</w:t>
            </w:r>
          </w:p>
        </w:tc>
        <w:tc>
          <w:tcPr>
            <w:tcW w:w="2949"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毕业（在读）学校</w:t>
            </w:r>
          </w:p>
        </w:tc>
        <w:tc>
          <w:tcPr>
            <w:tcW w:w="1587"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专业</w:t>
            </w:r>
          </w:p>
        </w:tc>
        <w:tc>
          <w:tcPr>
            <w:tcW w:w="1126"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专业</w:t>
            </w:r>
          </w:p>
          <w:p>
            <w:pPr>
              <w:jc w:val="center"/>
              <w:rPr>
                <w:rFonts w:ascii="宋体" w:hAnsi="宋体" w:eastAsia="宋体" w:cs="Times New Roman"/>
                <w:sz w:val="24"/>
                <w:szCs w:val="24"/>
              </w:rPr>
            </w:pPr>
            <w:r>
              <w:rPr>
                <w:rFonts w:hint="eastAsia" w:ascii="宋体" w:hAnsi="宋体" w:eastAsia="宋体" w:cs="Times New Roman"/>
                <w:sz w:val="24"/>
                <w:szCs w:val="24"/>
              </w:rPr>
              <w:t>排名</w:t>
            </w:r>
          </w:p>
        </w:tc>
        <w:tc>
          <w:tcPr>
            <w:tcW w:w="107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是否</w:t>
            </w:r>
          </w:p>
          <w:p>
            <w:pPr>
              <w:jc w:val="center"/>
              <w:rPr>
                <w:rFonts w:ascii="宋体" w:hAnsi="宋体" w:eastAsia="宋体" w:cs="Times New Roman"/>
                <w:sz w:val="24"/>
                <w:szCs w:val="24"/>
              </w:rPr>
            </w:pPr>
            <w:r>
              <w:rPr>
                <w:rFonts w:hint="eastAsia" w:ascii="宋体" w:hAnsi="宋体" w:eastAsia="宋体" w:cs="Times New Roman"/>
                <w:sz w:val="24"/>
                <w:szCs w:val="24"/>
              </w:rPr>
              <w:t>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本科□</w:t>
            </w:r>
          </w:p>
        </w:tc>
        <w:tc>
          <w:tcPr>
            <w:tcW w:w="2012"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w:t>
            </w:r>
          </w:p>
        </w:tc>
        <w:tc>
          <w:tcPr>
            <w:tcW w:w="2949"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587"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26"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07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硕士□</w:t>
            </w:r>
          </w:p>
        </w:tc>
        <w:tc>
          <w:tcPr>
            <w:tcW w:w="2012"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w:t>
            </w:r>
          </w:p>
        </w:tc>
        <w:tc>
          <w:tcPr>
            <w:tcW w:w="2949"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587"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26"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07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博士□</w:t>
            </w:r>
          </w:p>
        </w:tc>
        <w:tc>
          <w:tcPr>
            <w:tcW w:w="2012"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w:t>
            </w:r>
          </w:p>
        </w:tc>
        <w:tc>
          <w:tcPr>
            <w:tcW w:w="2949"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587"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26"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07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其他</w:t>
            </w:r>
          </w:p>
        </w:tc>
        <w:tc>
          <w:tcPr>
            <w:tcW w:w="2012"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w:t>
            </w:r>
          </w:p>
        </w:tc>
        <w:tc>
          <w:tcPr>
            <w:tcW w:w="2949" w:type="dxa"/>
            <w:gridSpan w:val="3"/>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587"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126"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074"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工作经历</w:t>
            </w:r>
          </w:p>
        </w:tc>
        <w:tc>
          <w:tcPr>
            <w:tcW w:w="8748" w:type="dxa"/>
            <w:gridSpan w:val="10"/>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p>
            <w:pPr>
              <w:jc w:val="center"/>
              <w:rPr>
                <w:rFonts w:ascii="宋体" w:hAnsi="宋体" w:eastAsia="宋体" w:cs="Times New Roman"/>
                <w:sz w:val="24"/>
                <w:szCs w:val="24"/>
              </w:rPr>
            </w:pPr>
          </w:p>
          <w:p>
            <w:pPr>
              <w:jc w:val="center"/>
              <w:rPr>
                <w:rFonts w:ascii="宋体" w:hAnsi="宋体" w:eastAsia="宋体" w:cs="Times New Roman"/>
                <w:sz w:val="24"/>
                <w:szCs w:val="24"/>
              </w:rPr>
            </w:pPr>
          </w:p>
          <w:p>
            <w:pPr>
              <w:jc w:val="center"/>
              <w:rPr>
                <w:rFonts w:ascii="宋体" w:hAnsi="宋体" w:eastAsia="宋体" w:cs="Times New Roman"/>
                <w:sz w:val="24"/>
                <w:szCs w:val="24"/>
              </w:rPr>
            </w:pPr>
          </w:p>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204" w:type="dxa"/>
            <w:vMerge w:val="restart"/>
            <w:tcBorders>
              <w:top w:val="nil"/>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家庭</w:t>
            </w:r>
          </w:p>
          <w:p>
            <w:pPr>
              <w:jc w:val="center"/>
              <w:rPr>
                <w:rFonts w:ascii="宋体" w:hAnsi="宋体" w:eastAsia="宋体" w:cs="Times New Roman"/>
                <w:sz w:val="24"/>
                <w:szCs w:val="24"/>
              </w:rPr>
            </w:pPr>
            <w:r>
              <w:rPr>
                <w:rFonts w:hint="eastAsia" w:ascii="宋体" w:hAnsi="宋体" w:eastAsia="宋体" w:cs="Times New Roman"/>
                <w:sz w:val="24"/>
                <w:szCs w:val="24"/>
              </w:rPr>
              <w:t>主要</w:t>
            </w:r>
          </w:p>
          <w:p>
            <w:pPr>
              <w:jc w:val="center"/>
              <w:rPr>
                <w:rFonts w:ascii="宋体" w:hAnsi="宋体" w:eastAsia="宋体" w:cs="Times New Roman"/>
                <w:sz w:val="24"/>
                <w:szCs w:val="24"/>
              </w:rPr>
            </w:pPr>
            <w:r>
              <w:rPr>
                <w:rFonts w:hint="eastAsia" w:ascii="宋体" w:hAnsi="宋体" w:eastAsia="宋体" w:cs="Times New Roman"/>
                <w:sz w:val="24"/>
                <w:szCs w:val="24"/>
              </w:rPr>
              <w:t>成员</w:t>
            </w: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称呼</w:t>
            </w: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姓名</w:t>
            </w: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职业</w:t>
            </w:r>
          </w:p>
        </w:tc>
        <w:tc>
          <w:tcPr>
            <w:tcW w:w="3787" w:type="dxa"/>
            <w:gridSpan w:val="5"/>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工作地址及单位名称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1204" w:type="dxa"/>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3787" w:type="dxa"/>
            <w:gridSpan w:val="5"/>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4" w:type="dxa"/>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3787" w:type="dxa"/>
            <w:gridSpan w:val="5"/>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1204" w:type="dxa"/>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p>
        </w:tc>
        <w:tc>
          <w:tcPr>
            <w:tcW w:w="1559"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418"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1984" w:type="dxa"/>
            <w:gridSpan w:val="2"/>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c>
          <w:tcPr>
            <w:tcW w:w="3787" w:type="dxa"/>
            <w:gridSpan w:val="5"/>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8" w:hRule="atLeast"/>
          <w:jc w:val="center"/>
        </w:trPr>
        <w:tc>
          <w:tcPr>
            <w:tcW w:w="12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 w:val="24"/>
                <w:szCs w:val="24"/>
              </w:rPr>
            </w:pPr>
            <w:r>
              <w:rPr>
                <w:rFonts w:hint="eastAsia" w:ascii="宋体" w:hAnsi="宋体" w:eastAsia="宋体" w:cs="Times New Roman"/>
                <w:sz w:val="24"/>
                <w:szCs w:val="24"/>
              </w:rPr>
              <w:t>有何</w:t>
            </w:r>
          </w:p>
          <w:p>
            <w:pPr>
              <w:jc w:val="center"/>
              <w:rPr>
                <w:rFonts w:ascii="宋体" w:hAnsi="宋体" w:eastAsia="宋体" w:cs="Times New Roman"/>
                <w:sz w:val="24"/>
                <w:szCs w:val="24"/>
              </w:rPr>
            </w:pPr>
            <w:r>
              <w:rPr>
                <w:rFonts w:hint="eastAsia" w:ascii="宋体" w:hAnsi="宋体" w:eastAsia="宋体" w:cs="Times New Roman"/>
                <w:sz w:val="24"/>
                <w:szCs w:val="24"/>
              </w:rPr>
              <w:t>特长及</w:t>
            </w:r>
          </w:p>
          <w:p>
            <w:pPr>
              <w:jc w:val="center"/>
              <w:rPr>
                <w:rFonts w:ascii="宋体" w:hAnsi="宋体" w:eastAsia="宋体" w:cs="Times New Roman"/>
                <w:sz w:val="24"/>
                <w:szCs w:val="24"/>
              </w:rPr>
            </w:pPr>
            <w:r>
              <w:rPr>
                <w:rFonts w:hint="eastAsia" w:ascii="宋体" w:hAnsi="宋体" w:eastAsia="宋体" w:cs="Times New Roman"/>
                <w:sz w:val="24"/>
                <w:szCs w:val="24"/>
              </w:rPr>
              <w:t>奖惩情况</w:t>
            </w:r>
          </w:p>
        </w:tc>
        <w:tc>
          <w:tcPr>
            <w:tcW w:w="8748" w:type="dxa"/>
            <w:gridSpan w:val="10"/>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 w:val="24"/>
                <w:szCs w:val="24"/>
              </w:rPr>
            </w:pPr>
          </w:p>
          <w:p>
            <w:pPr>
              <w:jc w:val="center"/>
              <w:rPr>
                <w:rFonts w:ascii="宋体" w:hAnsi="宋体" w:eastAsia="宋体" w:cs="Times New Roman"/>
                <w:sz w:val="24"/>
                <w:szCs w:val="24"/>
              </w:rPr>
            </w:pPr>
          </w:p>
          <w:p>
            <w:pPr>
              <w:jc w:val="center"/>
              <w:rPr>
                <w:rFonts w:ascii="宋体" w:hAnsi="宋体" w:eastAsia="宋体" w:cs="Times New Roman"/>
                <w:sz w:val="24"/>
                <w:szCs w:val="24"/>
              </w:rPr>
            </w:pPr>
          </w:p>
          <w:p>
            <w:pPr>
              <w:jc w:val="center"/>
              <w:rPr>
                <w:rFonts w:ascii="宋体" w:hAnsi="宋体" w:eastAsia="宋体" w:cs="Times New Roman"/>
                <w:sz w:val="24"/>
                <w:szCs w:val="24"/>
              </w:rPr>
            </w:pPr>
          </w:p>
        </w:tc>
      </w:tr>
    </w:tbl>
    <w:p>
      <w:pPr>
        <w:spacing w:line="360" w:lineRule="exact"/>
        <w:jc w:val="left"/>
        <w:rPr>
          <w:rFonts w:ascii="仿宋_GB2312" w:hAnsi="仿宋_GB2312" w:eastAsia="宋体" w:cs="Times New Roman"/>
          <w:szCs w:val="21"/>
        </w:rPr>
      </w:pPr>
      <w:r>
        <w:rPr>
          <w:rFonts w:hint="eastAsia" w:ascii="宋体" w:hAnsi="宋体" w:eastAsia="宋体" w:cs="Times New Roman"/>
          <w:sz w:val="24"/>
          <w:szCs w:val="24"/>
        </w:rPr>
        <w:t xml:space="preserve">    </w:t>
      </w:r>
      <w:r>
        <w:rPr>
          <w:rFonts w:hint="eastAsia" w:ascii="仿宋_GB2312" w:hAnsi="仿宋_GB2312" w:eastAsia="宋体" w:cs="Times New Roman"/>
          <w:szCs w:val="21"/>
        </w:rPr>
        <w:t>说明：1.生源指经高考被高校录取时户口所在地。</w:t>
      </w:r>
    </w:p>
    <w:p>
      <w:pPr>
        <w:spacing w:line="360" w:lineRule="exact"/>
        <w:jc w:val="left"/>
        <w:rPr>
          <w:rFonts w:ascii="仿宋_GB2312" w:hAnsi="仿宋_GB2312" w:eastAsia="宋体" w:cs="Times New Roman"/>
          <w:szCs w:val="21"/>
        </w:rPr>
      </w:pPr>
      <w:r>
        <w:rPr>
          <w:rFonts w:ascii="仿宋_GB2312" w:hAnsi="仿宋_GB2312" w:eastAsia="宋体" w:cs="Times New Roman"/>
          <w:szCs w:val="21"/>
        </w:rPr>
        <w:t xml:space="preserve">          </w:t>
      </w:r>
      <w:r>
        <w:rPr>
          <w:rFonts w:hint="eastAsia" w:ascii="仿宋_GB2312" w:hAnsi="仿宋_GB2312" w:eastAsia="宋体" w:cs="Times New Roman"/>
          <w:szCs w:val="21"/>
        </w:rPr>
        <w:t>2</w:t>
      </w:r>
      <w:r>
        <w:rPr>
          <w:rFonts w:ascii="仿宋_GB2312" w:hAnsi="仿宋_GB2312" w:eastAsia="宋体" w:cs="Times New Roman"/>
          <w:szCs w:val="21"/>
        </w:rPr>
        <w:t>.此表复印有效。</w:t>
      </w:r>
    </w:p>
    <w:p>
      <w:pPr>
        <w:spacing w:line="360" w:lineRule="exact"/>
        <w:jc w:val="left"/>
        <w:rPr>
          <w:rFonts w:ascii="仿宋_GB2312" w:hAnsi="仿宋_GB2312" w:eastAsia="宋体" w:cs="Times New Roman"/>
          <w:szCs w:val="21"/>
        </w:rPr>
      </w:pPr>
    </w:p>
    <w:p>
      <w:pPr>
        <w:spacing w:line="360" w:lineRule="exact"/>
        <w:jc w:val="left"/>
        <w:rPr>
          <w:rFonts w:ascii="仿宋_GB2312"/>
          <w:b/>
          <w:bCs/>
          <w:sz w:val="28"/>
          <w:szCs w:val="28"/>
        </w:rPr>
      </w:pPr>
      <w:r>
        <w:rPr>
          <w:rFonts w:ascii="仿宋_GB2312" w:hAnsi="仿宋_GB2312"/>
          <w:b/>
          <w:bCs/>
          <w:sz w:val="28"/>
          <w:szCs w:val="28"/>
        </w:rPr>
        <w:t>附件</w:t>
      </w:r>
      <w:r>
        <w:rPr>
          <w:rFonts w:hint="eastAsia" w:ascii="仿宋_GB2312"/>
          <w:b/>
          <w:bCs/>
          <w:sz w:val="28"/>
          <w:szCs w:val="28"/>
        </w:rPr>
        <w:t>3</w:t>
      </w:r>
    </w:p>
    <w:p>
      <w:pPr>
        <w:spacing w:line="360" w:lineRule="auto"/>
        <w:jc w:val="left"/>
        <w:rPr>
          <w:rFonts w:ascii="华文中宋" w:hAnsi="华文中宋"/>
          <w:b/>
          <w:bCs/>
          <w:sz w:val="36"/>
          <w:szCs w:val="36"/>
        </w:rPr>
      </w:pPr>
      <w:r>
        <w:rPr>
          <w:rFonts w:ascii="华文中宋" w:hAnsi="华文中宋"/>
          <w:b/>
          <w:bCs/>
          <w:sz w:val="36"/>
          <w:szCs w:val="36"/>
        </w:rPr>
        <w:t xml:space="preserve"> </w:t>
      </w:r>
    </w:p>
    <w:p>
      <w:pPr>
        <w:spacing w:line="360" w:lineRule="auto"/>
        <w:jc w:val="center"/>
        <w:rPr>
          <w:rFonts w:ascii="宋体" w:hAnsi="宋体"/>
          <w:b/>
          <w:bCs/>
          <w:sz w:val="40"/>
          <w:szCs w:val="40"/>
        </w:rPr>
      </w:pPr>
      <w:r>
        <w:rPr>
          <w:rFonts w:hint="eastAsia" w:ascii="宋体" w:hAnsi="宋体"/>
          <w:b/>
          <w:bCs/>
          <w:sz w:val="40"/>
          <w:szCs w:val="40"/>
        </w:rPr>
        <w:t>报名材料清单</w:t>
      </w:r>
    </w:p>
    <w:p>
      <w:pPr>
        <w:spacing w:line="360" w:lineRule="auto"/>
        <w:jc w:val="center"/>
        <w:rPr>
          <w:rFonts w:ascii="宋体" w:hAnsi="宋体"/>
          <w:b/>
          <w:bCs/>
          <w:sz w:val="28"/>
          <w:szCs w:val="28"/>
        </w:rPr>
      </w:pP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1．镇海中学嵊州分校教师招聘报名表；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2．身份证（正反面）、户口簿（首页、户主页、本人页）、学生证等证件复印件；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3．学历、专业证明的复印件；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 普通话等级证书、教师资格证（尚未拿到教师资格证的可提供国考成绩单）；</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5．高校期间获得的省优、校优、三好学生、各类奖学金、学子英才奖、各类各级竞赛等获奖证书、学习成果及其他能证明符合报名条件材料的复印件或学校证明；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6. 在职教师需提供职称证书复印件。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华文宋体">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000798"/>
    <w:multiLevelType w:val="singleLevel"/>
    <w:tmpl w:val="B7000798"/>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0YjcwNGVmNDJhZWNjMWRkZTg5YzE1MjhhNTE3MTkifQ=="/>
  </w:docVars>
  <w:rsids>
    <w:rsidRoot w:val="24AF0FDD"/>
    <w:rsid w:val="15F70F5B"/>
    <w:rsid w:val="1C512E16"/>
    <w:rsid w:val="2288435D"/>
    <w:rsid w:val="24AF0FDD"/>
    <w:rsid w:val="30170574"/>
    <w:rsid w:val="3A4A49F7"/>
    <w:rsid w:val="3DCE6E59"/>
    <w:rsid w:val="77AF566A"/>
    <w:rsid w:val="7E511C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2024-02-28T02:58:00Z</dcterms:created>
  <dc:creator>虎校</dc:creator>
  <cp:lastModifiedBy>小神经</cp:lastModifiedBy>
  <dcterms:modified xsi:type="dcterms:W3CDTF">2024-03-06T02:10:48Z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E42328D5D89B4DF3B03408425C903838_11</vt:lpwstr>
  </property>
</Properties>
</file>