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50" w:lineRule="exact"/>
        <w:textAlignment w:val="auto"/>
        <w:rPr>
          <w:rFonts w:hint="eastAsia" w:ascii="黑体" w:hAnsi="黑体" w:eastAsia="黑体"/>
          <w:sz w:val="32"/>
          <w:szCs w:val="32"/>
          <w:lang w:val="en-US" w:eastAsia="zh-CN"/>
        </w:rPr>
      </w:pPr>
      <w:bookmarkStart w:id="0" w:name="_GoBack"/>
      <w:r>
        <w:rPr>
          <w:rFonts w:hint="eastAsia" w:ascii="黑体" w:hAnsi="黑体" w:eastAsia="黑体"/>
          <w:sz w:val="32"/>
          <w:szCs w:val="32"/>
        </w:rPr>
        <w:t>附件</w:t>
      </w:r>
      <w:r>
        <w:rPr>
          <w:rFonts w:hint="eastAsia" w:ascii="黑体" w:hAnsi="黑体" w:eastAsia="黑体"/>
          <w:sz w:val="32"/>
          <w:szCs w:val="32"/>
          <w:lang w:val="en-US" w:eastAsia="zh-CN"/>
        </w:rPr>
        <w:t>1</w:t>
      </w:r>
    </w:p>
    <w:p>
      <w:pPr>
        <w:keepNext w:val="0"/>
        <w:keepLines w:val="0"/>
        <w:pageBreakBefore w:val="0"/>
        <w:kinsoku/>
        <w:wordWrap/>
        <w:overflowPunct/>
        <w:topLinePunct w:val="0"/>
        <w:autoSpaceDE/>
        <w:autoSpaceDN/>
        <w:bidi w:val="0"/>
        <w:adjustRightInd/>
        <w:snapToGrid/>
        <w:spacing w:line="550" w:lineRule="exact"/>
        <w:jc w:val="center"/>
        <w:textAlignment w:val="auto"/>
        <w:rPr>
          <w:rFonts w:ascii="方正小标宋简体" w:eastAsia="方正小标宋简体"/>
          <w:sz w:val="44"/>
          <w:szCs w:val="44"/>
        </w:rPr>
      </w:pPr>
    </w:p>
    <w:p>
      <w:pPr>
        <w:spacing w:line="720" w:lineRule="exact"/>
        <w:jc w:val="center"/>
        <w:rPr>
          <w:rFonts w:ascii="方正小标宋_GBK" w:eastAsia="方正小标宋_GBK"/>
          <w:w w:val="90"/>
          <w:sz w:val="44"/>
          <w:szCs w:val="44"/>
        </w:rPr>
      </w:pPr>
      <w:r>
        <w:rPr>
          <w:rFonts w:hint="eastAsia" w:ascii="方正小标宋_GBK" w:eastAsia="方正小标宋_GBK"/>
          <w:w w:val="90"/>
          <w:sz w:val="44"/>
          <w:szCs w:val="44"/>
        </w:rPr>
        <w:t>宁夏回族自治区教师资格认定体检标准及办法</w:t>
      </w:r>
    </w:p>
    <w:bookmarkEnd w:id="0"/>
    <w:p>
      <w:pPr>
        <w:spacing w:line="48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一、适用对象</w:t>
      </w:r>
    </w:p>
    <w:p>
      <w:pPr>
        <w:spacing w:line="560" w:lineRule="exact"/>
        <w:ind w:firstLine="640" w:firstLineChars="200"/>
        <w:rPr>
          <w:rFonts w:ascii="仿宋_GB2312" w:hAnsi="黑体" w:eastAsia="仿宋_GB2312"/>
          <w:sz w:val="32"/>
          <w:szCs w:val="32"/>
        </w:rPr>
      </w:pPr>
      <w:r>
        <w:rPr>
          <w:rFonts w:hint="eastAsia" w:ascii="仿宋_GB2312" w:eastAsia="仿宋_GB2312"/>
          <w:sz w:val="32"/>
          <w:szCs w:val="32"/>
        </w:rPr>
        <w:t>本办法适用对象为在我区申请教师资格认定的人员。</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二、体检结果分为合格、不合格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（一）严重心脏病、心肌病，不合格。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先天性心脏病经手术治愈或室间隔缺损分流量少、动脉导管</w:t>
      </w:r>
      <w:r>
        <w:rPr>
          <w:rFonts w:hint="eastAsia" w:ascii="仿宋_GB2312" w:eastAsia="仿宋_GB2312"/>
          <w:spacing w:val="-6"/>
          <w:sz w:val="32"/>
          <w:szCs w:val="32"/>
        </w:rPr>
        <w:t>未闭返流血量少，经二级以上医院专科检查确定无需手术者，合格。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（二）结核病未治愈者不合格。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原发性肺结核、继发性肺结核、结核性胸膜炎，临床治愈后稳定1年无变化者，合格。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肺外结核病：肾结核、骨结核、腹膜结核、淋巴结核等，临床治愈后2年无复发，经二级以上医院（或结核病防治所）检查无变化者，合格。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（三）严重的血液病，不合格。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单纯性缺铁性贫血，血红蛋白男性高于90g/L、女性高于80g／L，合格。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（四）慢性支气管炎伴阻塞性肺气肿、严重支气管扩张、严重支气管哮喘，不合格。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（五）严重慢性胃、肠疾病不合格。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胃溃疡或十二指肠溃疡已愈合，且1年内无出血史，1年以上无症状者，合格。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胃次全切除术后无严重并发症者，合格。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（六）各种急慢性肝炎和肝硬化不合格。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（七）恶性肿瘤不合格。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（八）慢性肾炎、慢性肾盂炎、多囊肾、肾功能不全，或急性肾炎治愈不足2年，不合格。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（九）I型糖尿病、П型糖尿病，伴心、脑、肾、眼及末梢循环等其他器官功能严重受损者，不合格。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尿崩症、肢端肥大症等内分泌系统疾病患者，不合格。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甲状腺功能亢进治愈后1年无症状和体征者，合格。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（十）有癫痫病史、精神病史、癔病史、严重的神经官能症（经常头痛头晕、失眠、记忆力明显下降等），精神活性物质滥用和依赖者，不合格。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（十一）红斑狼疮、皮肌炎和多发性肌炎、硬皮病、结节性多动脉炎、类风湿性关节炎等各种弥漫性结缔组织疾病，大动脉炎，不合格。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（十二）淋病、</w:t>
      </w:r>
      <w:r>
        <w:rPr>
          <w:rFonts w:hint="eastAsia" w:ascii="仿宋_GB2312" w:eastAsia="仿宋_GB2312"/>
          <w:sz w:val="32"/>
          <w:szCs w:val="32"/>
          <w:highlight w:val="none"/>
        </w:rPr>
        <w:t>梅毒</w:t>
      </w:r>
      <w:r>
        <w:rPr>
          <w:rFonts w:hint="eastAsia" w:ascii="仿宋_GB2312" w:eastAsia="仿宋_GB2312"/>
          <w:sz w:val="32"/>
          <w:szCs w:val="32"/>
        </w:rPr>
        <w:t>、软下疳、</w:t>
      </w:r>
      <w:r>
        <w:rPr>
          <w:rFonts w:hint="eastAsia" w:ascii="仿宋_GB2312" w:eastAsia="仿宋_GB2312"/>
          <w:sz w:val="32"/>
          <w:szCs w:val="32"/>
          <w:highlight w:val="none"/>
        </w:rPr>
        <w:t>性病</w:t>
      </w:r>
      <w:r>
        <w:rPr>
          <w:rFonts w:hint="eastAsia" w:ascii="仿宋_GB2312" w:eastAsia="仿宋_GB2312"/>
          <w:sz w:val="32"/>
          <w:szCs w:val="32"/>
        </w:rPr>
        <w:t>性淋巴肉芽肿、尖锐湿疣、生殖器疱疹，艾滋病，不合格。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（十三）晚期血吸虫病，晚期血丝虫病兼有橡皮肿或有乳糜尿，不合格。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（十四）色盲、色弱，幼儿园教师资格，不合格。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（十五）青光眼、视网膜、视神经疾病，不合格。陈旧性或稳定性眼底病，合格。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（十六）双耳均有听力障碍，在佩戴助听器情况下，双耳在3米以内耳语仍听不见者，不合格。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（十七）四肢有一肢缺失或不能运动，借助辅助工具仍不能完成教学者，不合格。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（十八）语言残疾或口腔有生理缺陷及耳、鼻、喉疾病之一并妨碍发音者，不合格。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（十九）面部有较大面积（3</w:t>
      </w:r>
      <w:r>
        <w:rPr>
          <w:rFonts w:hint="eastAsia" w:ascii="仿宋_GB2312" w:hAnsi="Arial" w:eastAsia="仿宋_GB2312" w:cs="Arial"/>
          <w:sz w:val="32"/>
          <w:szCs w:val="32"/>
        </w:rPr>
        <w:t>×</w:t>
      </w:r>
      <w:r>
        <w:rPr>
          <w:rFonts w:hint="eastAsia" w:ascii="仿宋_GB2312" w:eastAsia="仿宋_GB2312"/>
          <w:sz w:val="32"/>
          <w:szCs w:val="32"/>
        </w:rPr>
        <w:t>3厘米）疤痕、血管瘤、白癜风、色素痣，或斜颈、面瘫、唇腭裂及其手术后遗症、一眼失明及五官先天或后天性残缺、畸形等情况，经修正和借助辅助工具仍严重影响面容者，幼儿园、小学教师资格，不合格。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（二十）申请幼儿园教师资格，淋球菌、</w:t>
      </w:r>
      <w:r>
        <w:rPr>
          <w:rFonts w:hint="eastAsia" w:ascii="仿宋_GB2312" w:eastAsia="仿宋_GB2312"/>
          <w:sz w:val="32"/>
          <w:szCs w:val="32"/>
          <w:highlight w:val="none"/>
        </w:rPr>
        <w:t>梅毒</w:t>
      </w:r>
      <w:r>
        <w:rPr>
          <w:rFonts w:hint="eastAsia" w:ascii="仿宋_GB2312" w:eastAsia="仿宋_GB2312"/>
          <w:sz w:val="32"/>
          <w:szCs w:val="32"/>
        </w:rPr>
        <w:t>螺旋体和妇科滴虫、外阴</w:t>
      </w:r>
      <w:r>
        <w:rPr>
          <w:rFonts w:hint="eastAsia" w:ascii="仿宋_GB2312" w:eastAsia="仿宋_GB2312"/>
          <w:sz w:val="32"/>
          <w:szCs w:val="32"/>
          <w:highlight w:val="none"/>
        </w:rPr>
        <w:t>阴道</w:t>
      </w:r>
      <w:r>
        <w:rPr>
          <w:rFonts w:hint="eastAsia" w:ascii="仿宋_GB2312" w:eastAsia="仿宋_GB2312"/>
          <w:sz w:val="32"/>
          <w:szCs w:val="32"/>
        </w:rPr>
        <w:t>假丝酵母菌（念球菌）检查阳性者，不合格。</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三、体检机构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各级教师资格认定机构依法指定县级以上体检医院或体检中心负责体检，所指定的体检医院须具有二级及以上资质、体检费用标准通过当地物价部门审核。</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四、体检要求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（一）教师资格认定申请</w:t>
      </w:r>
      <w:r>
        <w:rPr>
          <w:rFonts w:hint="eastAsia" w:ascii="仿宋_GB2312" w:eastAsia="仿宋_GB2312"/>
          <w:color w:val="auto"/>
          <w:sz w:val="32"/>
          <w:szCs w:val="32"/>
        </w:rPr>
        <w:t>人员体检工</w:t>
      </w:r>
      <w:r>
        <w:rPr>
          <w:rFonts w:hint="eastAsia" w:ascii="仿宋_GB2312" w:eastAsia="仿宋_GB2312"/>
          <w:sz w:val="32"/>
          <w:szCs w:val="32"/>
        </w:rPr>
        <w:t>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w:t>
      </w:r>
      <w:r>
        <w:rPr>
          <w:rFonts w:hint="eastAsia" w:ascii="仿宋_GB2312" w:eastAsia="仿宋_GB2312"/>
          <w:spacing w:val="-11"/>
          <w:sz w:val="32"/>
          <w:szCs w:val="32"/>
        </w:rPr>
        <w:t>机构除取消其体检资格外，还要报医院主管行政部门对其追责处理。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w:t>
      </w:r>
      <w:r>
        <w:rPr>
          <w:rFonts w:hint="eastAsia" w:ascii="仿宋_GB2312" w:eastAsia="仿宋_GB2312"/>
          <w:spacing w:val="-6"/>
          <w:sz w:val="32"/>
          <w:szCs w:val="32"/>
        </w:rPr>
        <w:t>体检材料，均不得作为当事人申请认定教师资格健康状况的依据。</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五、其他说明事项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本办法自印发之日起执行，原办法自本办法实施之日起废止。本办法由宁夏回族自治区教育厅负责解释。</w:t>
      </w:r>
    </w:p>
    <w:p>
      <w:r>
        <w:rPr>
          <w:rFonts w:hint="eastAsia" w:ascii="仿宋_GB2312" w:eastAsia="仿宋_GB2312"/>
          <w:sz w:val="32"/>
          <w:szCs w:val="32"/>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7A5D6D9F"/>
    <w:rsid w:val="7A5D6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2024-03-20T06:16:00Z</dcterms:created>
  <dc:creator>风</dc:creator>
  <cp:lastModifiedBy>风</cp:lastModifiedBy>
  <dcterms:modified xsi:type="dcterms:W3CDTF">2024-03-20T06:16:48Z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F2E0325FC8A34621B055A898808FBF97_11</vt:lpwstr>
  </property>
</Properties>
</file>