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ascii="微软雅黑" w:hAnsi="微软雅黑" w:eastAsia="微软雅黑" w:cs="微软雅黑"/>
          <w:i w:val="0"/>
          <w:iCs w:val="0"/>
          <w:caps w:val="0"/>
          <w:color w:val="3D3D3D"/>
          <w:spacing w:val="0"/>
          <w:sz w:val="12"/>
          <w:szCs w:val="12"/>
          <w:bdr w:val="none" w:color="auto" w:sz="0" w:space="0"/>
        </w:rPr>
        <w:t>附件1：2024年嘉善县教育局招聘教师计划与岗位报考要求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eastAsia" w:ascii="微软雅黑" w:hAnsi="微软雅黑" w:eastAsia="微软雅黑" w:cs="微软雅黑"/>
          <w:i w:val="0"/>
          <w:iCs w:val="0"/>
          <w:caps w:val="0"/>
          <w:color w:val="3D3D3D"/>
          <w:spacing w:val="0"/>
          <w:sz w:val="12"/>
          <w:szCs w:val="12"/>
          <w:bdr w:val="none" w:color="auto" w:sz="0" w:space="0"/>
        </w:rPr>
        <w:t> </w:t>
      </w:r>
    </w:p>
    <w:tbl>
      <w:tblPr>
        <w:tblW w:w="563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30"/>
        <w:gridCol w:w="534"/>
        <w:gridCol w:w="778"/>
        <w:gridCol w:w="450"/>
        <w:gridCol w:w="2269"/>
        <w:gridCol w:w="13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26" w:hRule="atLeast"/>
        </w:trPr>
        <w:tc>
          <w:tcPr>
            <w:tcW w:w="223"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类别</w:t>
            </w:r>
          </w:p>
        </w:tc>
        <w:tc>
          <w:tcPr>
            <w:tcW w:w="540"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招聘学校</w:t>
            </w:r>
          </w:p>
        </w:tc>
        <w:tc>
          <w:tcPr>
            <w:tcW w:w="789"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招聘岗位</w:t>
            </w:r>
          </w:p>
        </w:tc>
        <w:tc>
          <w:tcPr>
            <w:tcW w:w="386"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招聘计划（人）</w:t>
            </w:r>
          </w:p>
        </w:tc>
        <w:tc>
          <w:tcPr>
            <w:tcW w:w="2306"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专业要求</w:t>
            </w:r>
          </w:p>
        </w:tc>
        <w:tc>
          <w:tcPr>
            <w:tcW w:w="1389"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其他要求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94" w:hRule="atLeast"/>
        </w:trPr>
        <w:tc>
          <w:tcPr>
            <w:tcW w:w="223"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both"/>
            </w:pPr>
            <w:r>
              <w:rPr>
                <w:rFonts w:hint="default" w:ascii="Times New Roman" w:hAnsi="Times New Roman" w:cs="Times New Roman"/>
                <w:sz w:val="11"/>
                <w:szCs w:val="1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事业编制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both"/>
            </w:pPr>
            <w:r>
              <w:rPr>
                <w:rFonts w:hint="default" w:ascii="Times New Roman" w:hAnsi="Times New Roman" w:cs="Times New Roman"/>
                <w:sz w:val="11"/>
                <w:szCs w:val="11"/>
                <w:bdr w:val="none" w:color="auto" w:sz="0" w:space="0"/>
              </w:rPr>
              <w:t> </w:t>
            </w:r>
          </w:p>
        </w:tc>
        <w:tc>
          <w:tcPr>
            <w:tcW w:w="540"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面向嘉善普高统配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both"/>
            </w:pPr>
            <w:r>
              <w:rPr>
                <w:rFonts w:hint="default" w:ascii="Times New Roman" w:hAnsi="Times New Roman" w:cs="Times New Roman"/>
                <w:sz w:val="11"/>
                <w:szCs w:val="11"/>
                <w:bdr w:val="none" w:color="auto" w:sz="0" w:space="0"/>
              </w:rPr>
              <w:t> </w:t>
            </w:r>
          </w:p>
        </w:tc>
        <w:tc>
          <w:tcPr>
            <w:tcW w:w="78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高中语文</w:t>
            </w:r>
          </w:p>
        </w:tc>
        <w:tc>
          <w:tcPr>
            <w:tcW w:w="38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3</w:t>
            </w:r>
          </w:p>
        </w:tc>
        <w:tc>
          <w:tcPr>
            <w:tcW w:w="230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中国语言文学类；学科教学（语文）专业</w:t>
            </w:r>
          </w:p>
        </w:tc>
        <w:tc>
          <w:tcPr>
            <w:tcW w:w="1389"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具体条件（符合下列条件之一）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1.国内全日制普通高校硕士研究生及以上2024年应届毕业生或择业期未就业毕业生，且本科背景须为全日制普通高校第一批录取专业。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2.北京大学、清华大学、复旦大学、上海交通大学、南京大学、浙江大学、中国科学技术大学、哈尔滨工业大学、西安交通大学和北京师范大学、华东师范大学全日制文理类2024年本科应届毕业生或择业期未就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3.中国人民大学、北京航空航天大学、北京理工大学、中国农业大学、中央民族大学、南开大学、天津大学、大连理工大学、吉林大学、同济大学、东南大学、厦门大学、山东大学、中国海洋大学、武汉大学、华中科技大学、中南大学、中山大学、华南理工大学、四川大学、重庆大学、电子科技大学、西北工业大学、兰州大学、国防科技大学全日制文理类2024年本科应届毕业生或择业期未就业毕业生和南京师范大学、华中师范大学、东北师范大学、陕西师范大学、华南师范大学、湖南师范大学、首都师范大学全日制文理师范类专业2024年本科应届毕业生或择业期未就业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94" w:hRule="atLeast"/>
        </w:trPr>
        <w:tc>
          <w:tcPr>
            <w:tcW w:w="223"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540"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78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高中数学</w:t>
            </w:r>
          </w:p>
        </w:tc>
        <w:tc>
          <w:tcPr>
            <w:tcW w:w="38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1</w:t>
            </w:r>
          </w:p>
        </w:tc>
        <w:tc>
          <w:tcPr>
            <w:tcW w:w="230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数学类；学科教学（数学）专业</w:t>
            </w:r>
          </w:p>
        </w:tc>
        <w:tc>
          <w:tcPr>
            <w:tcW w:w="138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94" w:hRule="atLeast"/>
        </w:trPr>
        <w:tc>
          <w:tcPr>
            <w:tcW w:w="223"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540"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78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高中历史</w:t>
            </w:r>
          </w:p>
        </w:tc>
        <w:tc>
          <w:tcPr>
            <w:tcW w:w="38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2</w:t>
            </w:r>
          </w:p>
        </w:tc>
        <w:tc>
          <w:tcPr>
            <w:tcW w:w="230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历史学类；学科教学（历史）专业</w:t>
            </w:r>
          </w:p>
        </w:tc>
        <w:tc>
          <w:tcPr>
            <w:tcW w:w="138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94" w:hRule="atLeast"/>
        </w:trPr>
        <w:tc>
          <w:tcPr>
            <w:tcW w:w="223"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540"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78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高中地理</w:t>
            </w:r>
          </w:p>
        </w:tc>
        <w:tc>
          <w:tcPr>
            <w:tcW w:w="38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1</w:t>
            </w:r>
          </w:p>
        </w:tc>
        <w:tc>
          <w:tcPr>
            <w:tcW w:w="230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地理科学类；大气科学类；地球物理学类；地质学类；学科教学（地理）专业</w:t>
            </w:r>
          </w:p>
        </w:tc>
        <w:tc>
          <w:tcPr>
            <w:tcW w:w="138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94" w:hRule="atLeast"/>
        </w:trPr>
        <w:tc>
          <w:tcPr>
            <w:tcW w:w="223"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540"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c>
          <w:tcPr>
            <w:tcW w:w="78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高中物理</w:t>
            </w:r>
          </w:p>
        </w:tc>
        <w:tc>
          <w:tcPr>
            <w:tcW w:w="38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3</w:t>
            </w:r>
          </w:p>
        </w:tc>
        <w:tc>
          <w:tcPr>
            <w:tcW w:w="230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物理学类；地球物理学类；学科教学（物理）专业</w:t>
            </w:r>
          </w:p>
        </w:tc>
        <w:tc>
          <w:tcPr>
            <w:tcW w:w="138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jc w:val="both"/>
              <w:rPr>
                <w:rFonts w:hint="default" w:ascii="Times New Roman" w:hAnsi="Times New Roman" w:cs="Times New Roman"/>
                <w:sz w:val="11"/>
                <w:szCs w:val="1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eastAsia" w:ascii="微软雅黑" w:hAnsi="微软雅黑" w:eastAsia="微软雅黑" w:cs="微软雅黑"/>
          <w:i w:val="0"/>
          <w:iCs w:val="0"/>
          <w:caps w:val="0"/>
          <w:color w:val="3D3D3D"/>
          <w:spacing w:val="0"/>
          <w:sz w:val="12"/>
          <w:szCs w:val="12"/>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eastAsia" w:ascii="微软雅黑" w:hAnsi="微软雅黑" w:eastAsia="微软雅黑" w:cs="微软雅黑"/>
          <w:i w:val="0"/>
          <w:iCs w:val="0"/>
          <w:caps w:val="0"/>
          <w:color w:val="3D3D3D"/>
          <w:spacing w:val="0"/>
          <w:sz w:val="12"/>
          <w:szCs w:val="12"/>
          <w:bdr w:val="none" w:color="auto" w:sz="0" w:space="0"/>
        </w:rPr>
        <w:t>2024年嘉善县招聘优秀毕业生报名表</w:t>
      </w:r>
    </w:p>
    <w:tbl>
      <w:tblPr>
        <w:tblW w:w="51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04"/>
        <w:gridCol w:w="195"/>
        <w:gridCol w:w="153"/>
        <w:gridCol w:w="153"/>
        <w:gridCol w:w="153"/>
        <w:gridCol w:w="138"/>
        <w:gridCol w:w="16"/>
        <w:gridCol w:w="154"/>
        <w:gridCol w:w="154"/>
        <w:gridCol w:w="154"/>
        <w:gridCol w:w="36"/>
        <w:gridCol w:w="118"/>
        <w:gridCol w:w="97"/>
        <w:gridCol w:w="57"/>
        <w:gridCol w:w="154"/>
        <w:gridCol w:w="114"/>
        <w:gridCol w:w="60"/>
        <w:gridCol w:w="154"/>
        <w:gridCol w:w="130"/>
        <w:gridCol w:w="24"/>
        <w:gridCol w:w="18"/>
        <w:gridCol w:w="136"/>
        <w:gridCol w:w="154"/>
        <w:gridCol w:w="121"/>
        <w:gridCol w:w="33"/>
        <w:gridCol w:w="173"/>
        <w:gridCol w:w="157"/>
        <w:gridCol w:w="684"/>
        <w:gridCol w:w="6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4" w:hRule="atLeast"/>
        </w:trPr>
        <w:tc>
          <w:tcPr>
            <w:tcW w:w="806" w:type="dxa"/>
            <w:tcBorders>
              <w:top w:val="single" w:color="auto" w:sz="4" w:space="0"/>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姓    名</w:t>
            </w:r>
          </w:p>
        </w:tc>
        <w:tc>
          <w:tcPr>
            <w:tcW w:w="797" w:type="dxa"/>
            <w:gridSpan w:val="5"/>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29" w:type="dxa"/>
            <w:gridSpan w:val="7"/>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性    别</w:t>
            </w:r>
          </w:p>
        </w:tc>
        <w:tc>
          <w:tcPr>
            <w:tcW w:w="669" w:type="dxa"/>
            <w:gridSpan w:val="6"/>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出生年月</w:t>
            </w:r>
          </w:p>
        </w:tc>
        <w:tc>
          <w:tcPr>
            <w:tcW w:w="686"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vMerge w:val="restart"/>
            <w:tcBorders>
              <w:top w:val="single" w:color="auto" w:sz="4" w:space="0"/>
              <w:left w:val="nil"/>
              <w:bottom w:val="nil"/>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上传1寸电子照或打印后贴上纸质照片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0"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政治面貌</w:t>
            </w:r>
          </w:p>
        </w:tc>
        <w:tc>
          <w:tcPr>
            <w:tcW w:w="797" w:type="dxa"/>
            <w:gridSpan w:val="5"/>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29" w:type="dxa"/>
            <w:gridSpan w:val="7"/>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健康状况</w:t>
            </w:r>
          </w:p>
        </w:tc>
        <w:tc>
          <w:tcPr>
            <w:tcW w:w="669" w:type="dxa"/>
            <w:gridSpan w:val="6"/>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民族</w:t>
            </w:r>
          </w:p>
        </w:tc>
        <w:tc>
          <w:tcPr>
            <w:tcW w:w="686" w:type="dxa"/>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vMerge w:val="continue"/>
            <w:tcBorders>
              <w:top w:val="single" w:color="auto" w:sz="4" w:space="0"/>
              <w:left w:val="nil"/>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籍   贯</w:t>
            </w:r>
          </w:p>
        </w:tc>
        <w:tc>
          <w:tcPr>
            <w:tcW w:w="797" w:type="dxa"/>
            <w:gridSpan w:val="5"/>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29" w:type="dxa"/>
            <w:gridSpan w:val="7"/>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学   历</w:t>
            </w:r>
          </w:p>
        </w:tc>
        <w:tc>
          <w:tcPr>
            <w:tcW w:w="669" w:type="dxa"/>
            <w:gridSpan w:val="6"/>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学    位</w:t>
            </w:r>
          </w:p>
        </w:tc>
        <w:tc>
          <w:tcPr>
            <w:tcW w:w="686" w:type="dxa"/>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vMerge w:val="continue"/>
            <w:tcBorders>
              <w:top w:val="single" w:color="auto" w:sz="4" w:space="0"/>
              <w:left w:val="nil"/>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毕业院校</w:t>
            </w:r>
          </w:p>
        </w:tc>
        <w:tc>
          <w:tcPr>
            <w:tcW w:w="2194" w:type="dxa"/>
            <w:gridSpan w:val="18"/>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毕业时间</w:t>
            </w:r>
          </w:p>
        </w:tc>
        <w:tc>
          <w:tcPr>
            <w:tcW w:w="1380" w:type="dxa"/>
            <w:gridSpan w:val="2"/>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专  业</w:t>
            </w:r>
          </w:p>
        </w:tc>
        <w:tc>
          <w:tcPr>
            <w:tcW w:w="2194" w:type="dxa"/>
            <w:gridSpan w:val="18"/>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是否师范类</w:t>
            </w:r>
          </w:p>
        </w:tc>
        <w:tc>
          <w:tcPr>
            <w:tcW w:w="1380" w:type="dxa"/>
            <w:gridSpan w:val="2"/>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3"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生源地</w:t>
            </w:r>
          </w:p>
        </w:tc>
        <w:tc>
          <w:tcPr>
            <w:tcW w:w="2194" w:type="dxa"/>
            <w:gridSpan w:val="18"/>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普通话水平</w:t>
            </w:r>
          </w:p>
        </w:tc>
        <w:tc>
          <w:tcPr>
            <w:tcW w:w="1380" w:type="dxa"/>
            <w:gridSpan w:val="2"/>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57"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教师资格证</w:t>
            </w:r>
          </w:p>
        </w:tc>
        <w:tc>
          <w:tcPr>
            <w:tcW w:w="2194" w:type="dxa"/>
            <w:gridSpan w:val="18"/>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797" w:type="dxa"/>
            <w:gridSpan w:val="8"/>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取得时间</w:t>
            </w:r>
          </w:p>
        </w:tc>
        <w:tc>
          <w:tcPr>
            <w:tcW w:w="1380" w:type="dxa"/>
            <w:gridSpan w:val="2"/>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身份证号</w:t>
            </w:r>
          </w:p>
        </w:tc>
        <w:tc>
          <w:tcPr>
            <w:tcW w:w="197" w:type="dxa"/>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5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831" w:type="dxa"/>
            <w:gridSpan w:val="2"/>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户籍所在地</w:t>
            </w: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tcBorders>
              <w:top w:val="single" w:color="auto" w:sz="4" w:space="0"/>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联系地址</w:t>
            </w:r>
          </w:p>
        </w:tc>
        <w:tc>
          <w:tcPr>
            <w:tcW w:w="2237" w:type="dxa"/>
            <w:gridSpan w:val="20"/>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17" w:type="dxa"/>
            <w:gridSpan w:val="5"/>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联系电话</w:t>
            </w:r>
          </w:p>
        </w:tc>
        <w:tc>
          <w:tcPr>
            <w:tcW w:w="1526" w:type="dxa"/>
            <w:gridSpan w:val="3"/>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806" w:type="dxa"/>
            <w:tcBorders>
              <w:top w:val="single" w:color="auto" w:sz="4" w:space="0"/>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报考单位</w:t>
            </w:r>
          </w:p>
        </w:tc>
        <w:tc>
          <w:tcPr>
            <w:tcW w:w="4371" w:type="dxa"/>
            <w:gridSpan w:val="28"/>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46" w:hRule="atLeast"/>
        </w:trPr>
        <w:tc>
          <w:tcPr>
            <w:tcW w:w="806" w:type="dxa"/>
            <w:tcBorders>
              <w:top w:val="single" w:color="auto" w:sz="4" w:space="0"/>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报考岗位名称</w:t>
            </w:r>
          </w:p>
        </w:tc>
        <w:tc>
          <w:tcPr>
            <w:tcW w:w="1911" w:type="dxa"/>
            <w:gridSpan w:val="16"/>
            <w:tcBorders>
              <w:top w:val="nil"/>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766" w:type="dxa"/>
            <w:gridSpan w:val="11"/>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报考岗位是否形成回避关系（没有回避关系填写“无”）</w:t>
            </w: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806" w:type="dxa"/>
            <w:tcBorders>
              <w:top w:val="single" w:color="auto" w:sz="4" w:space="0"/>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本人简历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（从高中起至今）</w:t>
            </w:r>
          </w:p>
        </w:tc>
        <w:tc>
          <w:tcPr>
            <w:tcW w:w="4371" w:type="dxa"/>
            <w:gridSpan w:val="28"/>
            <w:tcBorders>
              <w:top w:val="single" w:color="auto" w:sz="4" w:space="0"/>
              <w:left w:val="nil"/>
              <w:bottom w:val="single" w:color="auto" w:sz="4" w:space="0"/>
              <w:right w:val="single" w:color="auto" w:sz="4" w:space="0"/>
            </w:tcBorders>
            <w:shd w:val="clear"/>
            <w:tcMar>
              <w:left w:w="17" w:type="dxa"/>
              <w:right w:w="17"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例：2020.09—2024.06  某某某大学  所学专业  师范类/非师范类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restart"/>
            <w:tcBorders>
              <w:top w:val="nil"/>
              <w:left w:val="single" w:color="auto" w:sz="4" w:space="0"/>
              <w:bottom w:val="nil"/>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情况</w:t>
            </w:r>
          </w:p>
        </w:tc>
        <w:tc>
          <w:tcPr>
            <w:tcW w:w="1311" w:type="dxa"/>
            <w:gridSpan w:val="10"/>
            <w:tcBorders>
              <w:top w:val="nil"/>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称谓</w:t>
            </w: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姓名</w:t>
            </w: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工作单位</w:t>
            </w: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continue"/>
            <w:tcBorders>
              <w:top w:val="nil"/>
              <w:left w:val="single" w:color="auto" w:sz="4" w:space="0"/>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c>
          <w:tcPr>
            <w:tcW w:w="1311" w:type="dxa"/>
            <w:gridSpan w:val="10"/>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continue"/>
            <w:tcBorders>
              <w:top w:val="nil"/>
              <w:left w:val="single" w:color="auto" w:sz="4" w:space="0"/>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c>
          <w:tcPr>
            <w:tcW w:w="1311" w:type="dxa"/>
            <w:gridSpan w:val="10"/>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continue"/>
            <w:tcBorders>
              <w:top w:val="nil"/>
              <w:left w:val="single" w:color="auto" w:sz="4" w:space="0"/>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c>
          <w:tcPr>
            <w:tcW w:w="1311" w:type="dxa"/>
            <w:gridSpan w:val="10"/>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continue"/>
            <w:tcBorders>
              <w:top w:val="nil"/>
              <w:left w:val="single" w:color="auto" w:sz="4" w:space="0"/>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c>
          <w:tcPr>
            <w:tcW w:w="1311" w:type="dxa"/>
            <w:gridSpan w:val="10"/>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9" w:hRule="atLeast"/>
        </w:trPr>
        <w:tc>
          <w:tcPr>
            <w:tcW w:w="806" w:type="dxa"/>
            <w:vMerge w:val="continue"/>
            <w:tcBorders>
              <w:top w:val="nil"/>
              <w:left w:val="single" w:color="auto" w:sz="4" w:space="0"/>
              <w:bottom w:val="nil"/>
              <w:right w:val="single" w:color="auto" w:sz="4" w:space="0"/>
            </w:tcBorders>
            <w:shd w:val="clear"/>
            <w:tcMar>
              <w:left w:w="17" w:type="dxa"/>
              <w:right w:w="17" w:type="dxa"/>
            </w:tcMar>
            <w:vAlign w:val="center"/>
          </w:tcPr>
          <w:p>
            <w:pPr>
              <w:rPr>
                <w:rFonts w:hint="default" w:ascii="Times New Roman" w:hAnsi="Times New Roman" w:cs="Times New Roman"/>
                <w:sz w:val="11"/>
                <w:szCs w:val="11"/>
              </w:rPr>
            </w:pPr>
          </w:p>
        </w:tc>
        <w:tc>
          <w:tcPr>
            <w:tcW w:w="1311" w:type="dxa"/>
            <w:gridSpan w:val="10"/>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337" w:type="dxa"/>
            <w:gridSpan w:val="13"/>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1029" w:type="dxa"/>
            <w:gridSpan w:val="4"/>
            <w:tcBorders>
              <w:top w:val="single" w:color="auto" w:sz="4" w:space="0"/>
              <w:left w:val="nil"/>
              <w:bottom w:val="single" w:color="auto" w:sz="4" w:space="0"/>
              <w:right w:val="nil"/>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c>
          <w:tcPr>
            <w:tcW w:w="694" w:type="dxa"/>
            <w:tcBorders>
              <w:top w:val="single" w:color="auto" w:sz="4" w:space="0"/>
              <w:left w:val="nil"/>
              <w:bottom w:val="single" w:color="auto" w:sz="4" w:space="0"/>
              <w:right w:val="single" w:color="auto" w:sz="4" w:space="0"/>
            </w:tcBorders>
            <w:shd w:val="clear"/>
            <w:tcMar>
              <w:left w:w="17" w:type="dxa"/>
              <w:right w:w="17"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11" w:hRule="atLeast"/>
        </w:trPr>
        <w:tc>
          <w:tcPr>
            <w:tcW w:w="806" w:type="dxa"/>
            <w:tcBorders>
              <w:top w:val="nil"/>
              <w:left w:val="single" w:color="auto" w:sz="4" w:space="0"/>
              <w:bottom w:val="single" w:color="auto" w:sz="4" w:space="0"/>
              <w:right w:val="single" w:color="auto" w:sz="4" w:space="0"/>
            </w:tcBorders>
            <w:shd w:val="clear"/>
            <w:tcMar>
              <w:left w:w="17" w:type="dxa"/>
              <w:right w:w="1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pPr>
            <w:r>
              <w:rPr>
                <w:rFonts w:hint="default" w:ascii="Times New Roman" w:hAnsi="Times New Roman" w:cs="Times New Roman"/>
                <w:sz w:val="11"/>
                <w:szCs w:val="1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符合相应的应聘条件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pPr>
            <w:r>
              <w:rPr>
                <w:rFonts w:hint="default" w:ascii="Times New Roman" w:hAnsi="Times New Roman" w:cs="Times New Roman"/>
                <w:sz w:val="11"/>
                <w:szCs w:val="11"/>
                <w:bdr w:val="none" w:color="auto" w:sz="0" w:space="0"/>
              </w:rPr>
              <w:t> </w:t>
            </w:r>
          </w:p>
        </w:tc>
        <w:tc>
          <w:tcPr>
            <w:tcW w:w="4371" w:type="dxa"/>
            <w:gridSpan w:val="28"/>
            <w:tcBorders>
              <w:top w:val="nil"/>
              <w:left w:val="nil"/>
              <w:bottom w:val="single" w:color="auto" w:sz="4" w:space="0"/>
              <w:right w:val="single" w:color="auto" w:sz="4" w:space="0"/>
            </w:tcBorders>
            <w:shd w:val="clear"/>
            <w:tcMar>
              <w:left w:w="17" w:type="dxa"/>
              <w:right w:w="17"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£1.国内全日制普通高校硕士研究生及以上2024年应届毕业生或择业期未就业毕业生，且本科背景须为全日制普通高校第一批录取专业。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£2.北京大学、清华大学、复旦大学、上海交通大学、南京大学、浙江大学、中国科学技术大学、哈尔滨工业大学、西安交通大学和北京师范大学、华东师范大学全日制文理类2024年本科应届毕业生或择业期未就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£3.中国人民大学、北京航空航天大学、北京理工大学、中国农业大学、中央民族大学、南开大学、天津大学、大连理工大学、吉林大学、同济大学、东南大学、厦门大学、山东大学、中国海洋大学、武汉大学、华中科技大学、中南大学、中山大学、华南理工大学、四川大学、重庆大学、电子科技大学、西北工业大学、兰州大学、国防科技大学全日制文理类2024年本科应届毕业生或择业期未就业毕业生和南京师范大学、华中师范大学、东北师范大学、陕西师范大学、华南师范大学、湖南师范大学、首都师范大学全日制文理师范类专业2024年本科应届毕业生或择业期未就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pPr>
            <w:r>
              <w:rPr>
                <w:rFonts w:hint="default" w:ascii="Times New Roman" w:hAnsi="Times New Roman" w:cs="Times New Roman"/>
                <w:sz w:val="11"/>
                <w:szCs w:val="1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06" w:hRule="atLeast"/>
        </w:trPr>
        <w:tc>
          <w:tcPr>
            <w:tcW w:w="806"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pPr>
            <w:r>
              <w:rPr>
                <w:rFonts w:hint="default" w:ascii="Times New Roman" w:hAnsi="Times New Roman" w:cs="Times New Roman"/>
                <w:sz w:val="11"/>
                <w:szCs w:val="1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况</w:t>
            </w:r>
          </w:p>
        </w:tc>
        <w:tc>
          <w:tcPr>
            <w:tcW w:w="4371" w:type="dxa"/>
            <w:gridSpan w:val="28"/>
            <w:tcBorders>
              <w:top w:val="single" w:color="auto" w:sz="4" w:space="0"/>
              <w:left w:val="single" w:color="auto" w:sz="4" w:space="0"/>
              <w:bottom w:val="single" w:color="auto" w:sz="4" w:space="0"/>
              <w:right w:val="single" w:color="auto" w:sz="4" w:space="0"/>
            </w:tcBorders>
            <w:shd w:val="clear"/>
            <w:tcMar>
              <w:left w:w="60" w:type="dxa"/>
              <w:right w:w="60" w:type="dxa"/>
            </w:tcMar>
            <w:vAlign w:val="top"/>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97" w:hRule="atLeast"/>
        </w:trPr>
        <w:tc>
          <w:tcPr>
            <w:tcW w:w="5186" w:type="dxa"/>
            <w:gridSpan w:val="29"/>
            <w:tcBorders>
              <w:top w:val="nil"/>
              <w:left w:val="single" w:color="auto" w:sz="4" w:space="0"/>
              <w:bottom w:val="single" w:color="auto" w:sz="4" w:space="0"/>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承      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本人对所报职位的选择及填表内容的真实性、准确性负责，如因选报职位不当或所填写内容不真实、不准确、不全面而影响本人考试或聘用的，本人愿被取消录用资格并承担一切法律责任。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其它承诺事项：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pPr>
            <w:r>
              <w:rPr>
                <w:rFonts w:hint="default" w:ascii="Times New Roman" w:hAnsi="Times New Roman" w:cs="Times New Roman"/>
                <w:sz w:val="11"/>
                <w:szCs w:val="1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r>
              <w:rPr>
                <w:rFonts w:hint="default" w:ascii="Times New Roman" w:hAnsi="Times New Roman" w:cs="Times New Roman"/>
                <w:sz w:val="11"/>
                <w:szCs w:val="11"/>
                <w:bdr w:val="none" w:color="auto" w:sz="0" w:space="0"/>
              </w:rPr>
              <w:t>考生签名：            2024年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29" w:hRule="atLeast"/>
        </w:trPr>
        <w:tc>
          <w:tcPr>
            <w:tcW w:w="2657" w:type="dxa"/>
            <w:gridSpan w:val="16"/>
            <w:tcBorders>
              <w:top w:val="nil"/>
              <w:left w:val="single" w:color="auto" w:sz="4" w:space="0"/>
              <w:bottom w:val="nil"/>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学校初审人签名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pPr>
            <w:r>
              <w:rPr>
                <w:rFonts w:hint="default" w:ascii="Times New Roman" w:hAnsi="Times New Roman" w:cs="Times New Roman"/>
                <w:sz w:val="11"/>
                <w:szCs w:val="11"/>
                <w:bdr w:val="none" w:color="auto" w:sz="0" w:space="0"/>
              </w:rPr>
              <w:t> </w:t>
            </w:r>
          </w:p>
        </w:tc>
        <w:tc>
          <w:tcPr>
            <w:tcW w:w="2529" w:type="dxa"/>
            <w:gridSpan w:val="13"/>
            <w:tcBorders>
              <w:top w:val="single" w:color="auto" w:sz="4" w:space="0"/>
              <w:left w:val="single" w:color="auto" w:sz="4" w:space="0"/>
              <w:bottom w:val="nil"/>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学校复审人签名：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9" w:hRule="atLeast"/>
        </w:trPr>
        <w:tc>
          <w:tcPr>
            <w:tcW w:w="2657" w:type="dxa"/>
            <w:gridSpan w:val="16"/>
            <w:tcBorders>
              <w:top w:val="nil"/>
              <w:left w:val="single" w:color="auto" w:sz="4" w:space="0"/>
              <w:bottom w:val="single" w:color="auto" w:sz="4" w:space="0"/>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2024年   月    日</w:t>
            </w:r>
          </w:p>
        </w:tc>
        <w:tc>
          <w:tcPr>
            <w:tcW w:w="2529" w:type="dxa"/>
            <w:gridSpan w:val="13"/>
            <w:tcBorders>
              <w:top w:val="nil"/>
              <w:left w:val="single" w:color="auto" w:sz="4" w:space="0"/>
              <w:bottom w:val="single" w:color="auto" w:sz="4" w:space="0"/>
              <w:right w:val="single" w:color="auto" w:sz="4" w:space="0"/>
            </w:tcBorders>
            <w:shd w:val="clear"/>
            <w:tcMar>
              <w:left w:w="6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2024年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69" w:hRule="atLeast"/>
        </w:trPr>
        <w:tc>
          <w:tcPr>
            <w:tcW w:w="5186" w:type="dxa"/>
            <w:gridSpan w:val="29"/>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left"/>
            </w:pPr>
            <w:r>
              <w:rPr>
                <w:rFonts w:hint="default" w:ascii="Times New Roman" w:hAnsi="Times New Roman" w:cs="Times New Roman"/>
                <w:sz w:val="11"/>
                <w:szCs w:val="11"/>
                <w:bdr w:val="none" w:color="auto" w:sz="0" w:space="0"/>
              </w:rPr>
              <w:t>组织人事科终审签名：</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嘉善县教育高层次人才引育目录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一、A类（国家级高端人才）：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1.国家“万人计划”领军人才（教学名师领军人才）、国家“万人计划”青年拔尖人才：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2.国家级教学名师。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二、B类（省级高端人才）：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1.浙江省“万人计划”领军人才（教学名师领军人才）、浙江省“万人计划”青年拔尖人才；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2.浙江省突出贡献中青年专家、浙江省“151”人才工程重点资助和第一、第二层次培养人选。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三、C类（紧缺高级人才）：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1.浙江省“151”人才工程第三层次培养人选，嘉兴市杰出人才重点资助和第一层次培养人选，嘉兴市教育名家，中小学（幼儿园）正高级教师，省特级教师，浙江省首席技师，全国技术能手。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2.全日制教育类博士研究生；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3.指导学生在高中数学、物理、化学、生物、信息学奥林匹克竞赛中多次获得全国一、二等奖（3次以上）且在行业内有较高知名度的优秀竞赛指导教师。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四、D类(高级人才)：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1.国内全日制硕士研究生（本科背景须为全日制普通高校第一批录取专业）；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国（境）外高校硕士研究生及以上学历（学位）人员，必须为位列ARWU、THE、U.S.News、QS世界大学排名最新榜单前200名高校的毕业生，且本科毕业于国内全日制普通高校第一批录取专业或位列ARWU、THE、U.S.News、QS世界大学排名最新榜单前200名的国（境）外高校；同时获得国家教育部海外硕、博士学历（学位）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3.北京大学、清华大学、复旦大学、上海交通大学、南京大学、浙江大学、中国科学技术大学、哈尔滨工业大学、西安交通大学和北京师范大学、华东师范大学全日制文理类本科毕业生；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4.指导学生在高中数学、物理、化学、生物或信息学奥林匹克竞赛中多次获得省级一等奖以上（至少5人次）且为主要指导教师。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五、E类（紧缺人才）：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中国人民大学、北京航空航天大学、北京理工大学、中国农业大学、中央民族大学、南开大学、天津大学、大连理工大学、吉林大学、同济大学、东南大学、厦门大学、山东大学、中国海洋大学、武汉大学、华中科技大学、中南大学、中山大学、华南理工大学、四川大学、重庆大学、电子科技大学、西北工业大学、兰州大学、国防科技大学全日制文理类本科毕业生和南京师范大学、华中师范大学、东北师范大学、陕西师范大学、华南师范大学、湖南师范大学、首都师范大学全日制师范类专业文理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2.指导学生在全国职业技能大赛中多次获得金牌（至少3人次）且为主要指导教师。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嘉善县“文教卫紧缺专业技术人才住房券”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管理和使用暂行办法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第一条 为深入实施人才强县战略，壮大优质人才基数，引入我县文教卫系统紧缺的专业技术人才，结合《中共嘉善县委嘉善县人民政府关于打造最优人才生态、促进县域人才创业创新高地建设的若干意见》(善委发〔2017〕12号)文件精神，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第二条 “文教卫紧缺专业技术人才住房券”（以下简称“文教卫人才住房券”）可兑现面值等额的购房款，既适用于购买的商品住房，也适用于购买的人才福利房。购买人才福利房的，还可享受最大面积内8折优惠。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第三条 “文教卫人才住房券”的兑现仅限于2019年1月1日以后首次在嘉善县购置的房产。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第二章 发放对象及基本条件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第四条 发放对象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在我县文化系统群众文化、文物博物、工艺美术、体育教练、图书资料、艺术岗位，县属教育系统教学岗位，卫生系统医、药、护、技等卫生专业技术岗位，全职工作且符合发放对象目录的专业技术人才（定向培养生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第五条 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申请“文教卫人才住房券”的人才应同时具备以下三个基本条件：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（一）2019年1月1日以后新引进或招录的紧缺专业技术人才，文化、教育、卫生系统以正式签订事业单位聘用合同日期为准；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（二）新引进或招录后持续从事相关专业技术工作，且被聘任为相对应级别专业技术职务；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（三）在我县按时连续缴纳社会保险达到相应年份。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第三章 申领标准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第六条10类人才的申领标准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（一）国家级高端人才：缴纳社会保险满1年，可申领“文教卫人才住房券”面值100万元。购买人才福利房可享受优惠的最大面积为120平方米。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（二）省级高端人才：缴纳社会保险满1年，可申领“文教卫人才住房券”面值80万元。购买人才福利房可享受优惠的最大面积为120平方米。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（三）市级高端人才：缴纳社会保险满1年，可申领“文教卫人才住房券”面值60万元。购买人才福利房可享受优惠的最大面积为120平方米。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（四）高级人才：缴纳社会保险满1年，可申领“文教卫人才住房券”面值35万元。购买人才福利房可享受优惠的最大面积为120平方米。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（五）正高级职称人才：缴纳社会保险满1年，可申领“文教卫人才住房券”面值35万元。购买人才福利房可享受优惠的最大面积为120平方米。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（六）副高级职称人才：缴纳社会保险满1年，可申领“文教卫人才住房券”面值30万元。购买人才福利房可享受优惠的最大面积为120平方米。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（七）全日制博士研究生：缴纳社会保险满1年，可申领“文教卫人才住房券”面值30万元。购买人才福利房可享受优惠的最大面积为120平方米。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（八）全日制硕士研究生（教育系统另含部分“一流大学建设高校”全日制文理类本科）：缴纳社会保险满2年，可申领“文教卫人才住房券”面值25万元。购买人才福利房可享受优惠的最大面积为100平方米。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九）“一流大学建设高校”全日制本科（教育系统为其他“一流大学建设高校”全日制文理类本科）：缴纳社会保险满3年，可申领“文教卫人才住房券”面值15万元。购买人才福利房可享受优惠的最大面积为80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十）医学类专业非“一流大学建设高校”全日制本科（独立学院除外）：缴纳社会保险满3年，且在县内公立医疗卫生机构工作满3年，可选择申领“文教卫人才住房券”面值10万元，或可选择购买8折优惠的人才福利房，优惠最大面积为80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第四章 发放和兑现程序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第七条 提交申请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申请人通过在线平台（嘉善县人才服务智慧管理平台）向主管部门提交申请，经主管部门初步审查后由县人力社保局进行认定，经认定后，主管部门将通过人员名单在本系统内公示5个工作日。公示无异议后，由主管部门汇总申请人所需纸质材料统一提交县人力社保局进行复核，申请人需提供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（一）个人申请表；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（二）申请人身份证件原件及复印件；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学历学位证书原件及复印件，其中，国内学历提供《教育部学历证书电子注册备案表》，国外学历、学位提供教育部留学服务中心认证的《国外学历学位认证书》，港、澳、台地区学历、学位提供教育部留学服务中心认证的《港澳台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（四）事业单位聘用合同原件及复印件；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（五）教育专业技术人才提供教师资格证书原件及复印件，卫生专业技术人才提供相关资格证书原件及复印件；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（六）高级职称人才提供相应的职称证书原件及复印件；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（七）高级以上人才提供相应层次的证明材料原件及复印件；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（八）夫妻双方都符合申领标准的，提供结婚证原件及复印件。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申领“文教卫人才住房券”涉及的个人住房状况经申请人授权后由县建设局、县自然资源规划局代为查询，参保信息、岗位聘任情况经申请人授权后由县人力社保局代为查询。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第八条 审核发放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县人力社保局逐一核查申请人材料，经确认后，集中向社会公示5个工作日。公示无异议后，按照人才类别选择相应“文教卫人才住房券”进行编号登记。“文教卫人才住房券”由主管部门统一领取后发放至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第九条 兑现方式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申请人购房后，申请人统一于每季度首月的1-15日，持购房全款发票、不动产权证(或购房合同)、“文教卫人才住房券”向县人力社保局申请兑现，申请兑现时申请人必须全职在嘉善工作。经核查无误的，分次逐年兑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（一）按照“文教卫人才住房券”面值金额4:3:3的比例，分三年兑现到位，直接汇入申请人个人账户；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（二）购买人才福利房的，20%的优惠部分，按照4:3:3比例分三年兑现到位，直接汇入申请人个人账户；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（三）兑现额度不得超过购房发票金额，已领取租房补贴的，在兑现第一笔购房补贴金额时扣除相应额度资金；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（四）已部分或全部兑现“文教卫人才住房券”的，不再变更申请额度。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第五章 使用要求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第十条 “文教卫人才住房券”实行实名制管理，仅限申请人本人使用，且房屋所有权须为申请人一人或与配偶、子女、父母共同所有。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第十一条 申请人调离“第四条 发放对象”所列专业技术岗位的，申领的“文教卫人才住房券”即行失效。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第十二条 “文教卫人才住房券”有效期为5年，期满后未购房的，不可重新申请。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第十三条 主管部门和申请人须对申请材料的真实性负责。在不定期抽查中，如有弄虚作假、骗取“文教卫人才住房券”的，一经查实即取消该申请人的申领资格，追回相应资金，并追究相关当事人责任。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第十四条 相关说明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（一）人才福利房：政府适时从持有的人才公寓中安排一定数量的房源作为人才福利房,面向人才出售。房源不足时，采用积分制形式进行人员排序，排序靠前者优先选房(积分相同者抽签决定)；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（二）“双一流高校”、“一流大学建设高校”：《关于公布世界一流大学和一流学科建设高校及建设学科名单的通知》（教研函〔2017〕2号）中明确的高校；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（三）在浙江省外取得高级职称的人员须办理调入审定；具有副高及以上专业技术资格的人员，在已实施自主评聘的单位，自引进之日起一年内须经评聘（审）会确认被聘任为相对应级别专业技术职务；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同一申请人更换用人单位前后，分别符合申请“文教卫人才住房券”或“企业人才住房券”条件，原人才住房券已兑付完毕的，不重复申领、不补差；未兑付完毕的，按最新岗位申领对应的人才住房券，仅可兑现剩余比例的补贴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第十五条 夫妻双方都符合“文教卫人才住房券”申领标准的，各自为申请主体，购买人才福利房可享受优惠的最大面积就高计算，“文教卫人才住房券”面值可叠加使用。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夫妻双方分别符合“文教卫人才住房券”与“企业人才住房券”申领标准的，各自为申请主体，购买人才福利房可享受优惠的最大面积就高计算，两类“人才住房券”面值可叠加使用。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第十六条 2019年1月1日以后新引进的文化系统非事业在编人员，在我县缴纳社保，符合文化系统发放对象目录，且在我县工作期间获得党政部门颁发的国家级以上重要文化类奖项和荣誉的，可采取“一事一议”的方式，经县文化旅游体育局上报并提请县委人才办、县人力社保局研定具体资助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七条2019年1月1日以后新引进的文教卫事业在编紧缺专业技术人才，属高级以上人才但未被纳入发放对象目录的，可采取“一事一议”的方式，经主管部门上报并提请县委人才办、县人力社保局研定具体资助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第十八条2019年1月1日以后整体引进的文教卫人才团队中有3人及以上符合“文教卫人才住房券”申领条件的，可采取“一事一议”的方式，提供更加及时、高效、便捷的服务。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第十九条 文教卫系统发放对象目录中第1—8类高层次人才新引进或招录时间可放宽至2017年3月28日（《中共嘉善县委嘉善县人民政府关于打造最优人才生态、促进县域人才创业创新高地建设的若干意见》(善委发〔2017〕12号)文件发布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第二十条 申领和兑现“文教卫人才住房券”，以引进时的人才类别为准，“一事一议”的除外。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第二十一条 “文教卫人才住房券”制度由县委人才办牵头，县人力社保局、县财政局、县文化旅游体育局、县教育局、县卫生健康局等部门联合组织实施。县人力社保局具体负责“文教卫人才住房券”的发放和管理。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第二十二条 本办法自2019年8月1日起施行。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教育系统发放对象目录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一、国家级高端人才：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1.国家级教学名师；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2.国家“万人计划”领军人才（教学名师领军人才）、国家“万人计划”青年拔尖人才。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二、省级高端人才：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1.省有突出贡献中青年专家、省“151”人才工程重点资助和第一、第二层次培养人选、省特级教师、省高校教学名师；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2.省“万人计划”领军人才（教学名师领军人才）、省“万人计划”青年拔尖人才；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3.全国优秀教师获得者、省杰出教师获得者。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三、市级高端人才：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省“151”人才工程第三层次培养人选，市杰出人才重点资助和第一层次培养人选，市名师名校长、市教育领军人才、市教育名家。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四、高级人才：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“南湖百杰”优秀人才、市杰出人才第二层次培养人选。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五、正高级职称人才。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六、副高级职称人才。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七、全日制博士研究生。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八、全日制硕士研究生（本科须为“双一流”高校）、部分“一流大学建设高校”全日制文理类本科（北京大学、清华大学、浙江大学、复旦大学、上海交通大学、南京大学、中国科学技术大学、哈尔滨工业大学、西安交通大学、北京师范大学、华东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九、其他“一流大学建设高校”全日制文理类本科。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以上人才新引进或招录后须持有教师资格证书，持续从事教学工作，且被聘任为相对应级别专业技术职务。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6" w:beforeAutospacing="0" w:after="86" w:afterAutospacing="0"/>
        <w:ind w:left="0" w:right="0" w:firstLine="0"/>
        <w:jc w:val="left"/>
        <w:rPr>
          <w:rFonts w:hint="eastAsia" w:ascii="微软雅黑" w:hAnsi="微软雅黑" w:eastAsia="微软雅黑" w:cs="微软雅黑"/>
          <w:i w:val="0"/>
          <w:iCs w:val="0"/>
          <w:caps w:val="0"/>
          <w:color w:val="3D3D3D"/>
          <w:spacing w:val="0"/>
          <w:sz w:val="12"/>
          <w:szCs w:val="12"/>
        </w:rPr>
      </w:pPr>
      <w:r>
        <w:rPr>
          <w:rFonts w:hint="eastAsia" w:ascii="微软雅黑" w:hAnsi="微软雅黑" w:eastAsia="微软雅黑" w:cs="微软雅黑"/>
          <w:i w:val="0"/>
          <w:iCs w:val="0"/>
          <w:caps w:val="0"/>
          <w:color w:val="3D3D3D"/>
          <w:spacing w:val="0"/>
          <w:sz w:val="12"/>
          <w:szCs w:val="12"/>
          <w:bdr w:val="none" w:color="auto" w:sz="0" w:space="0"/>
        </w:rPr>
        <w:t>抄送：市教育局，县府办，县编委办，县人力社保局。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8F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2024-06-11T03:58:33Z</dcterms:created>
  <dc:creator>19219</dc:creator>
  <cp:lastModifiedBy>19219</cp:lastModifiedBy>
  <dcterms:modified xsi:type="dcterms:W3CDTF">2024-06-11T03:58:47Z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10B656AD169540BC9857323FA9D9D05F_12</vt:lpwstr>
  </property>
</Properties>
</file>