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946578">
      <w:r>
        <w:rPr>
          <w:rFonts w:ascii="Arial" w:hAnsi="Arial" w:eastAsia="宋体" w:cs="Arial"/>
          <w:i w:val="0"/>
          <w:iCs w:val="0"/>
          <w:caps w:val="0"/>
          <w:color w:val="3C464F"/>
          <w:spacing w:val="0"/>
          <w:sz w:val="16"/>
          <w:szCs w:val="16"/>
        </w:rPr>
        <w:t>易薇、袁可、徐优、谢棚根、晏璐、曾紫荞、晏宜红、易倩、黄财富、袁珊、龚芙蓉、周西、苏媛媛、龙思珍、谢雨停、徐清、易伟、潘悦、钟娇娇、易婷、孙斌、林珺、张美玲、王慧。（其中林珺、张美玲、王慧3人因怀孕未完成全部体检项目检查，须待体检合格后方可办理聘用手续，若体检不合格，则取消聘用资格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DFA3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2024-07-26T06:22:08Z</dcterms:created>
  <dc:creator>19219</dc:creator>
  <cp:lastModifiedBy>19219</cp:lastModifiedBy>
  <dcterms:modified xsi:type="dcterms:W3CDTF">2024-07-26T06:22:15Z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2D54EE7086794D3FADCBB1B2FA35B32C_12</vt:lpwstr>
  </property>
</Properties>
</file>