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C9D82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574" w:afterAutospacing="0" w:line="560" w:lineRule="atLeast"/>
        <w:ind w:left="0" w:right="0" w:firstLine="0"/>
        <w:rPr>
          <w:rFonts w:ascii="黑体" w:hAnsi="宋体" w:eastAsia="黑体" w:cs="黑体"/>
          <w:i w:val="0"/>
          <w:iCs w:val="0"/>
          <w:caps w:val="0"/>
          <w:color w:val="333333"/>
          <w:spacing w:val="0"/>
          <w:sz w:val="32"/>
          <w:szCs w:val="32"/>
        </w:rPr>
      </w:pPr>
      <w:r>
        <w:rPr>
          <w:rFonts w:hint="eastAsia" w:ascii="黑体" w:hAnsi="宋体" w:eastAsia="黑体" w:cs="黑体"/>
          <w:i w:val="0"/>
          <w:iCs w:val="0"/>
          <w:caps w:val="0"/>
          <w:color w:val="333333"/>
          <w:spacing w:val="0"/>
          <w:sz w:val="32"/>
          <w:szCs w:val="32"/>
          <w:bdr w:val="none" w:color="auto" w:sz="0" w:space="0"/>
          <w:shd w:val="clear" w:fill="FFFFFF"/>
        </w:rPr>
        <w:t>附件1</w:t>
      </w:r>
    </w:p>
    <w:p w14:paraId="3C5BFCA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7" w:beforeAutospacing="0" w:after="574" w:afterAutospacing="0" w:line="560" w:lineRule="atLeast"/>
        <w:ind w:left="0" w:right="0" w:firstLine="0"/>
        <w:jc w:val="center"/>
        <w:rPr>
          <w:rFonts w:ascii="方正小标宋简体" w:hAnsi="方正小标宋简体" w:eastAsia="方正小标宋简体" w:cs="方正小标宋简体"/>
          <w:i w:val="0"/>
          <w:iCs w:val="0"/>
          <w:caps w:val="0"/>
          <w:color w:val="000000"/>
          <w:spacing w:val="0"/>
          <w:sz w:val="44"/>
          <w:szCs w:val="44"/>
        </w:rPr>
      </w:pPr>
      <w:r>
        <w:rPr>
          <w:rFonts w:hint="default" w:ascii="方正小标宋简体" w:hAnsi="方正小标宋简体" w:eastAsia="方正小标宋简体" w:cs="方正小标宋简体"/>
          <w:i w:val="0"/>
          <w:iCs w:val="0"/>
          <w:caps w:val="0"/>
          <w:color w:val="000000"/>
          <w:spacing w:val="0"/>
          <w:sz w:val="44"/>
          <w:szCs w:val="44"/>
          <w:bdr w:val="none" w:color="auto" w:sz="0" w:space="0"/>
          <w:shd w:val="clear" w:fill="FFFFFF"/>
        </w:rPr>
        <w:t>湘潭市教育局教师资格认定条件和材料要求</w:t>
      </w:r>
    </w:p>
    <w:p w14:paraId="4F8FB15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湘潭市教育局认定高级中学教师资格、中等职业学校教师资格和中等职业学校实习指导教师资格，申请人应当符合遵纪守法、属地身份、学历规定、普通话水平、考试要求、身心素质等六项认定条件。申请材料（信息）如与事实不符，申请人应承担相应行政处罚和法律责任。</w:t>
      </w:r>
    </w:p>
    <w:p w14:paraId="7C0F76D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eastAsia" w:ascii="黑体" w:hAnsi="宋体" w:eastAsia="黑体" w:cs="黑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shd w:val="clear" w:fill="FFFFFF"/>
        </w:rPr>
        <w:t>一、遵纪守法</w:t>
      </w:r>
    </w:p>
    <w:p w14:paraId="7E6EBBB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【条件】拥护党的基本路线，全面贯彻党的教育方针，自觉遵守《教师法》等法律法规，遵守教师职业道德，热爱教育事业，热爱学生，为人师表。</w:t>
      </w:r>
    </w:p>
    <w:p w14:paraId="3BB6038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1．根据《教师法》第十四条，受到剥夺政治权利或者故意犯罪受到有期徒刑以上刑事处罚的，不能取得教师资格；已经取得教师资格的，丧失教师资格。丧失教师资格者不得重新申请认定教师资格。</w:t>
      </w:r>
    </w:p>
    <w:p w14:paraId="38D5BD8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2．根据《教师资格条例》第十九条，有下列情形之一的，由县级以上人民政府教育行政部门撤销其教师资格：弄虚作假、骗取教师资格的；品行不良、侮辱学生，影响恶劣的。被撤销教师资格的，自撤销之日起5年内不得重新申请认定教师资格。</w:t>
      </w:r>
    </w:p>
    <w:p w14:paraId="76CCC34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3．根据《最高人民检察院 教育部 公安部关于建立教职员工准入查询性侵违法犯罪信息制度的意见》（高检发〔2020〕14号）第十二条第二款，教师资格申请人员取得教师资格前应当进行教师资格准入查询。对经查询发现有性侵违法犯罪信息的，应当不予认定。已经认定的按照法律法规和国家有关规定处理。</w:t>
      </w:r>
    </w:p>
    <w:p w14:paraId="56BF1BB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【材料】申请人有无犯罪记录信息由认定机构对接公安机关集中核查。申请人在网报系统授权准入查询，完成《个人承诺书》电子签名，上传个人电子证件照。</w:t>
      </w:r>
    </w:p>
    <w:p w14:paraId="269ECF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电子证件照要求：</w:t>
      </w:r>
    </w:p>
    <w:p w14:paraId="1C3D624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200"/>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1．本人近6个月内的照片，应与粘贴到体检表上的照片一致；</w:t>
      </w:r>
    </w:p>
    <w:p w14:paraId="1A54E2C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2．照片文件应为JPEG格式；</w:t>
      </w:r>
    </w:p>
    <w:p w14:paraId="3CDA474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3．照片文件应小于190KB，并在此基础上尽量保证清晰；</w:t>
      </w:r>
    </w:p>
    <w:p w14:paraId="38EA5EC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4．照片文件应是24位RGB真彩色，宽290~300像素，高408~418像素（建议使用Microsoft Office Picture Manager，画图，Photoshop，ACDsee等工具对照片进行剪裁压缩）。调整像素应锁定纵横比，确保照片无明显畸变；</w:t>
      </w:r>
    </w:p>
    <w:p w14:paraId="69EC07E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5．照片必须显示申请人头部、双耳、眉毛、肩的上部，头部占照片尺寸的2/3，不得带帽子、头巾、发带、墨镜等，肩膀以下不得出现，不得侧身；</w:t>
      </w:r>
    </w:p>
    <w:p w14:paraId="6CB79B9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6．照片背景必须为白色背景无边框（背景中不得带有家具、门框、风景、树木等物体），申请人请勿穿着白色服装；</w:t>
      </w:r>
    </w:p>
    <w:p w14:paraId="009C46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7．不得使用手机翻拍旧照，照片处理软件仅限使用于照片尺寸剪裁，不得对面部进行任何修饰，照片必须图象清晰、层次丰富、神态自然；</w:t>
      </w:r>
    </w:p>
    <w:p w14:paraId="5C4F0F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8．不得使用手机自拍，不得自行背靠墙壁拍照，照片中不得有阴影；</w:t>
      </w:r>
    </w:p>
    <w:p w14:paraId="5F6E8D2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9．如需修改，请点击已传照片，重新上传；</w:t>
      </w:r>
    </w:p>
    <w:p w14:paraId="623474C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10．照片审核不合格的，材料确认不通过，并留言提示重传。</w:t>
      </w:r>
    </w:p>
    <w:p w14:paraId="7B0BEE6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照片样张：</w:t>
      </w:r>
      <w:r>
        <w:rPr>
          <w:rFonts w:hint="default" w:ascii="Times New Roman" w:hAnsi="Times New Roman" w:cs="Times New Roman"/>
          <w:i w:val="0"/>
          <w:iCs w:val="0"/>
          <w:caps w:val="0"/>
          <w:color w:val="000000"/>
          <w:spacing w:val="0"/>
          <w:sz w:val="32"/>
          <w:szCs w:val="32"/>
          <w:bdr w:val="none" w:color="auto" w:sz="0" w:space="0"/>
          <w:shd w:val="clear" w:fill="FFFFFF"/>
        </w:rPr>
        <w:drawing>
          <wp:inline distT="0" distB="0" distL="114300" distR="114300">
            <wp:extent cx="1133475" cy="1533525"/>
            <wp:effectExtent l="0" t="0" r="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133475" cy="1533525"/>
                    </a:xfrm>
                    <a:prstGeom prst="rect">
                      <a:avLst/>
                    </a:prstGeom>
                    <a:noFill/>
                    <a:ln w="9525">
                      <a:noFill/>
                    </a:ln>
                  </pic:spPr>
                </pic:pic>
              </a:graphicData>
            </a:graphic>
          </wp:inline>
        </w:drawing>
      </w:r>
    </w:p>
    <w:p w14:paraId="7E49FCA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eastAsia" w:ascii="黑体" w:hAnsi="宋体" w:eastAsia="黑体" w:cs="黑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shd w:val="clear" w:fill="FFFFFF"/>
        </w:rPr>
        <w:t>二、属地身份</w:t>
      </w:r>
    </w:p>
    <w:p w14:paraId="2A3CBCA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【条件】未达到国家法定退休年龄的中国公民，具备下列一种或多种属地身份：</w:t>
      </w:r>
    </w:p>
    <w:p w14:paraId="6367C3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1．户籍属于湘潭县、韶山市、雨湖区或岳塘区行政区域的人员。</w:t>
      </w:r>
    </w:p>
    <w:p w14:paraId="716F82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2．驻潭高校在读学生。申请高级中学教师资格和中等职业学校教师资格的，此类属地身份仅限驻潭高校在读研究生。</w:t>
      </w:r>
    </w:p>
    <w:p w14:paraId="029481B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3．居住地住址（凭居住证）或驻潭部队现役军人和现役武警人事关系地址属于湘潭县、韶山市、雨湖区或岳塘区行政区域的人员；已在本市凭港澳居民来往内地通行证或五年有效期台湾居民来往大陆通行证参加中小学教师资格考试且取得合格证明的人员。</w:t>
      </w:r>
    </w:p>
    <w:p w14:paraId="56EA950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材料】在网报系统上传①湘潭户籍的户口簿本人页②驻潭高校在读学生的《教育部学籍在线验证报告》③湘潭居民的居住证正面（居住证办理凭证、办理回执单不可作为属地材料）④驻潭部队现役军人和现役武警人事关系证明或⑤来潭的港澳台居民相关通行证双面（港澳居民来往内地通行证或五年有效期台湾居民来往大陆通行证）等五种材料之一。此处五种湘潭属地身份材料等效，不必多重提交。驻潭高校在读学生在网报系统完成同步学籍的，属地身份材料不需上传。</w:t>
      </w:r>
    </w:p>
    <w:p w14:paraId="3D00B16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eastAsia" w:ascii="黑体" w:hAnsi="宋体" w:eastAsia="黑体" w:cs="黑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shd w:val="clear" w:fill="FFFFFF"/>
        </w:rPr>
        <w:t>三、学历规定</w:t>
      </w:r>
    </w:p>
    <w:p w14:paraId="7BB3631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【条件】具备《教师法》规定的相应学历。</w:t>
      </w:r>
    </w:p>
    <w:p w14:paraId="5B4E38A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1．申请高级中学教师资格和中等职业学校教师资格，应当具备高等师范院校本科或者其他大学本科毕业及其以上学历。</w:t>
      </w:r>
    </w:p>
    <w:p w14:paraId="312CD1D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2．申请中等职业学校实习指导教师资格，应当具备各类中等职业学校毕业及其以上学历和具有相当助理工程师以上专业技术职务或者中级以上工人技术等级。</w:t>
      </w:r>
    </w:p>
    <w:p w14:paraId="44705DC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材料】申请人的学历经网报系统核验通过的，不需上传此项材料；核验不成功的，仅限上传①中国高等教育学历认证报告②教育部学历证书电子注册备案表③港澳台地区学历学位认证书或④国外学历学位认证书等四种材料之一。</w:t>
      </w:r>
    </w:p>
    <w:p w14:paraId="2172276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注：</w:t>
      </w:r>
    </w:p>
    <w:p w14:paraId="0349D1E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1．具备规定学历指的是已取得相应学历层次的毕业证书。请不要将学籍证明、学位证书当做学历材料提交。</w:t>
      </w:r>
    </w:p>
    <w:p w14:paraId="4585FCB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2．“结业”“肄业”均不符合教师资格认定的学历要求。</w:t>
      </w:r>
    </w:p>
    <w:p w14:paraId="1597C56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3．“中国高等教育学历认证报告”或“教育部学历证书电子注册备案表”在线申请网址：</w:t>
      </w:r>
      <w:r>
        <w:rPr>
          <w:rFonts w:hint="default" w:ascii="Times New Roman" w:hAnsi="Times New Roman" w:cs="Times New Roman"/>
          <w:i w:val="0"/>
          <w:iCs w:val="0"/>
          <w:caps w:val="0"/>
          <w:color w:val="333333"/>
          <w:spacing w:val="0"/>
          <w:sz w:val="13"/>
          <w:szCs w:val="13"/>
          <w:u w:val="none"/>
          <w:bdr w:val="none" w:color="auto" w:sz="0" w:space="0"/>
          <w:shd w:val="clear" w:fill="FFFFFF"/>
        </w:rPr>
        <w:fldChar w:fldCharType="begin"/>
      </w:r>
      <w:r>
        <w:rPr>
          <w:rFonts w:hint="default" w:ascii="Times New Roman" w:hAnsi="Times New Roman" w:cs="Times New Roman"/>
          <w:i w:val="0"/>
          <w:iCs w:val="0"/>
          <w:caps w:val="0"/>
          <w:color w:val="333333"/>
          <w:spacing w:val="0"/>
          <w:sz w:val="13"/>
          <w:szCs w:val="13"/>
          <w:u w:val="none"/>
          <w:bdr w:val="none" w:color="auto" w:sz="0" w:space="0"/>
          <w:shd w:val="clear" w:fill="FFFFFF"/>
        </w:rPr>
        <w:instrText xml:space="preserve"> HYPERLINK "http://www.chsi.com.cn/" </w:instrText>
      </w:r>
      <w:r>
        <w:rPr>
          <w:rFonts w:hint="default" w:ascii="Times New Roman" w:hAnsi="Times New Roman" w:cs="Times New Roman"/>
          <w:i w:val="0"/>
          <w:iCs w:val="0"/>
          <w:caps w:val="0"/>
          <w:color w:val="333333"/>
          <w:spacing w:val="0"/>
          <w:sz w:val="13"/>
          <w:szCs w:val="13"/>
          <w:u w:val="none"/>
          <w:bdr w:val="none" w:color="auto" w:sz="0" w:space="0"/>
          <w:shd w:val="clear" w:fill="FFFFFF"/>
        </w:rPr>
        <w:fldChar w:fldCharType="separate"/>
      </w:r>
      <w:r>
        <w:rPr>
          <w:rStyle w:val="5"/>
          <w:rFonts w:hint="eastAsia" w:ascii="宋体" w:hAnsi="宋体" w:eastAsia="宋体" w:cs="宋体"/>
          <w:i w:val="0"/>
          <w:iCs w:val="0"/>
          <w:caps w:val="0"/>
          <w:color w:val="333333"/>
          <w:spacing w:val="0"/>
          <w:sz w:val="13"/>
          <w:szCs w:val="13"/>
          <w:u w:val="none"/>
          <w:bdr w:val="none" w:color="auto" w:sz="0" w:space="0"/>
          <w:shd w:val="clear" w:fill="FFFFFF"/>
        </w:rPr>
        <w:t>http://www.chsi.com.cn</w:t>
      </w:r>
      <w:r>
        <w:rPr>
          <w:rFonts w:hint="default" w:ascii="Times New Roman" w:hAnsi="Times New Roman" w:cs="Times New Roman"/>
          <w:i w:val="0"/>
          <w:iCs w:val="0"/>
          <w:caps w:val="0"/>
          <w:color w:val="333333"/>
          <w:spacing w:val="0"/>
          <w:sz w:val="13"/>
          <w:szCs w:val="13"/>
          <w:u w:val="none"/>
          <w:bdr w:val="none" w:color="auto" w:sz="0" w:space="0"/>
          <w:shd w:val="clear" w:fill="FFFFFF"/>
        </w:rPr>
        <w:fldChar w:fldCharType="end"/>
      </w:r>
      <w:r>
        <w:rPr>
          <w:rFonts w:hint="eastAsia" w:ascii="宋体" w:hAnsi="宋体" w:eastAsia="宋体" w:cs="宋体"/>
          <w:i w:val="0"/>
          <w:iCs w:val="0"/>
          <w:caps w:val="0"/>
          <w:color w:val="000000"/>
          <w:spacing w:val="0"/>
          <w:sz w:val="32"/>
          <w:szCs w:val="32"/>
          <w:bdr w:val="none" w:color="auto" w:sz="0" w:space="0"/>
          <w:shd w:val="clear" w:fill="FFFFFF"/>
        </w:rPr>
        <w:t>。</w:t>
      </w:r>
    </w:p>
    <w:p w14:paraId="72245F7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4．“港澳台地区学历学位认证书”或“国外学历学位认证书”在线申请网址：</w:t>
      </w:r>
      <w:r>
        <w:rPr>
          <w:rFonts w:hint="default" w:ascii="Times New Roman" w:hAnsi="Times New Roman" w:cs="Times New Roman"/>
          <w:i w:val="0"/>
          <w:iCs w:val="0"/>
          <w:caps w:val="0"/>
          <w:color w:val="333333"/>
          <w:spacing w:val="0"/>
          <w:sz w:val="13"/>
          <w:szCs w:val="13"/>
          <w:u w:val="none"/>
          <w:bdr w:val="none" w:color="auto" w:sz="0" w:space="0"/>
          <w:shd w:val="clear" w:fill="FFFFFF"/>
        </w:rPr>
        <w:fldChar w:fldCharType="begin"/>
      </w:r>
      <w:r>
        <w:rPr>
          <w:rFonts w:hint="default" w:ascii="Times New Roman" w:hAnsi="Times New Roman" w:cs="Times New Roman"/>
          <w:i w:val="0"/>
          <w:iCs w:val="0"/>
          <w:caps w:val="0"/>
          <w:color w:val="333333"/>
          <w:spacing w:val="0"/>
          <w:sz w:val="13"/>
          <w:szCs w:val="13"/>
          <w:u w:val="none"/>
          <w:bdr w:val="none" w:color="auto" w:sz="0" w:space="0"/>
          <w:shd w:val="clear" w:fill="FFFFFF"/>
        </w:rPr>
        <w:instrText xml:space="preserve"> HYPERLINK "http://zwfw.cscse.edu.cn/" </w:instrText>
      </w:r>
      <w:r>
        <w:rPr>
          <w:rFonts w:hint="default" w:ascii="Times New Roman" w:hAnsi="Times New Roman" w:cs="Times New Roman"/>
          <w:i w:val="0"/>
          <w:iCs w:val="0"/>
          <w:caps w:val="0"/>
          <w:color w:val="333333"/>
          <w:spacing w:val="0"/>
          <w:sz w:val="13"/>
          <w:szCs w:val="13"/>
          <w:u w:val="none"/>
          <w:bdr w:val="none" w:color="auto" w:sz="0" w:space="0"/>
          <w:shd w:val="clear" w:fill="FFFFFF"/>
        </w:rPr>
        <w:fldChar w:fldCharType="separate"/>
      </w:r>
      <w:r>
        <w:rPr>
          <w:rStyle w:val="5"/>
          <w:rFonts w:hint="eastAsia" w:ascii="宋体" w:hAnsi="宋体" w:eastAsia="宋体" w:cs="宋体"/>
          <w:i w:val="0"/>
          <w:iCs w:val="0"/>
          <w:caps w:val="0"/>
          <w:color w:val="333333"/>
          <w:spacing w:val="0"/>
          <w:sz w:val="13"/>
          <w:szCs w:val="13"/>
          <w:u w:val="none"/>
          <w:bdr w:val="none" w:color="auto" w:sz="0" w:space="0"/>
          <w:shd w:val="clear" w:fill="FFFFFF"/>
        </w:rPr>
        <w:t>http://zwfw.cscse.edu.cn</w:t>
      </w:r>
      <w:r>
        <w:rPr>
          <w:rFonts w:hint="default" w:ascii="Times New Roman" w:hAnsi="Times New Roman" w:cs="Times New Roman"/>
          <w:i w:val="0"/>
          <w:iCs w:val="0"/>
          <w:caps w:val="0"/>
          <w:color w:val="333333"/>
          <w:spacing w:val="0"/>
          <w:sz w:val="13"/>
          <w:szCs w:val="13"/>
          <w:u w:val="none"/>
          <w:bdr w:val="none" w:color="auto" w:sz="0" w:space="0"/>
          <w:shd w:val="clear" w:fill="FFFFFF"/>
        </w:rPr>
        <w:fldChar w:fldCharType="end"/>
      </w:r>
      <w:r>
        <w:rPr>
          <w:rFonts w:hint="eastAsia" w:ascii="宋体" w:hAnsi="宋体" w:eastAsia="宋体" w:cs="宋体"/>
          <w:i w:val="0"/>
          <w:iCs w:val="0"/>
          <w:caps w:val="0"/>
          <w:color w:val="000000"/>
          <w:spacing w:val="0"/>
          <w:sz w:val="32"/>
          <w:szCs w:val="32"/>
          <w:bdr w:val="none" w:color="auto" w:sz="0" w:space="0"/>
          <w:shd w:val="clear" w:fill="FFFFFF"/>
        </w:rPr>
        <w:t>。</w:t>
      </w:r>
    </w:p>
    <w:p w14:paraId="14E173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eastAsia" w:ascii="黑体" w:hAnsi="宋体" w:eastAsia="黑体" w:cs="黑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shd w:val="clear" w:fill="FFFFFF"/>
        </w:rPr>
        <w:t>四、普通话水平</w:t>
      </w:r>
    </w:p>
    <w:p w14:paraId="34B7CE8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【条件】普通话水平应当达到国家语委颁布的《普通话水平测试等级标准》二级乙等及以上标准。其中，申请语文教师资格应当达到二级甲等及以上标准。</w:t>
      </w:r>
    </w:p>
    <w:p w14:paraId="191EF6B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【材料】申请人的普通话水平等级经网报系统核验通过的，不需上传此项材料；核验不成功的，仅限上传①国家政务服务平台-普通话证书查询结果页或②普通话水平等级证书原件内页等两种材料之一。</w:t>
      </w:r>
    </w:p>
    <w:p w14:paraId="622DF70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eastAsia" w:ascii="黑体" w:hAnsi="宋体" w:eastAsia="黑体" w:cs="黑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shd w:val="clear" w:fill="FFFFFF"/>
        </w:rPr>
        <w:t>五、考试要求</w:t>
      </w:r>
    </w:p>
    <w:p w14:paraId="4ADF161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【条件】应当参加教育部规定的考试、考核并达到相应要求。申请的教师资格种类及任教学科须与考试合格证明或能力证书一致。</w:t>
      </w:r>
    </w:p>
    <w:p w14:paraId="191B8A2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1．通过中小学教师资格考试，取得《中小学教师资格考试合格证明》。</w:t>
      </w:r>
    </w:p>
    <w:p w14:paraId="2DC1050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2．属于免试认定范围的教育类研究生和师范生，通过就读高校组织的师范生教师职业能力测试，经教育教学能力考核合格并取得《师范生教师职业能力证书》。</w:t>
      </w:r>
    </w:p>
    <w:p w14:paraId="205540D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【材料】此项条件必须经网报系统核验通过，不需上传此项材料。</w:t>
      </w:r>
    </w:p>
    <w:p w14:paraId="6ADA249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eastAsia" w:ascii="黑体" w:hAnsi="宋体" w:eastAsia="黑体" w:cs="黑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shd w:val="clear" w:fill="FFFFFF"/>
        </w:rPr>
        <w:t>六、身心素质</w:t>
      </w:r>
    </w:p>
    <w:p w14:paraId="78D8C7A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【条件】应当具有良好的身体素质和心理素质，能适应教育教学工作的需要。无传染性疾病，无精神病史，在教师资格认定机构指定的县级以上医院体检合格。体检结果当年有效。</w:t>
      </w:r>
    </w:p>
    <w:p w14:paraId="3FB2854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【材料】申请人按体检安排（见附件2）预约完成体检。</w:t>
      </w:r>
      <w:r>
        <w:rPr>
          <w:rFonts w:hint="default" w:ascii="Times New Roman" w:hAnsi="Times New Roman" w:cs="Times New Roman"/>
          <w:i w:val="0"/>
          <w:iCs w:val="0"/>
          <w:caps w:val="0"/>
          <w:color w:val="333333"/>
          <w:spacing w:val="0"/>
          <w:sz w:val="13"/>
          <w:szCs w:val="13"/>
          <w:u w:val="none"/>
          <w:bdr w:val="none" w:color="auto" w:sz="0" w:space="0"/>
          <w:shd w:val="clear" w:fill="FFFFFF"/>
        </w:rPr>
        <w:fldChar w:fldCharType="begin"/>
      </w:r>
      <w:r>
        <w:rPr>
          <w:rFonts w:hint="default" w:ascii="Times New Roman" w:hAnsi="Times New Roman" w:cs="Times New Roman"/>
          <w:i w:val="0"/>
          <w:iCs w:val="0"/>
          <w:caps w:val="0"/>
          <w:color w:val="333333"/>
          <w:spacing w:val="0"/>
          <w:sz w:val="13"/>
          <w:szCs w:val="13"/>
          <w:u w:val="none"/>
          <w:bdr w:val="none" w:color="auto" w:sz="0" w:space="0"/>
          <w:shd w:val="clear" w:fill="FFFFFF"/>
        </w:rPr>
        <w:instrText xml:space="preserve"> HYPERLINK "http://jy.xiangtan.gov.cn/uploadfiles/202304/20230427171834106.docx" </w:instrText>
      </w:r>
      <w:r>
        <w:rPr>
          <w:rFonts w:hint="default" w:ascii="Times New Roman" w:hAnsi="Times New Roman" w:cs="Times New Roman"/>
          <w:i w:val="0"/>
          <w:iCs w:val="0"/>
          <w:caps w:val="0"/>
          <w:color w:val="333333"/>
          <w:spacing w:val="0"/>
          <w:sz w:val="13"/>
          <w:szCs w:val="13"/>
          <w:u w:val="none"/>
          <w:bdr w:val="none" w:color="auto" w:sz="0" w:space="0"/>
          <w:shd w:val="clear" w:fill="FFFFFF"/>
        </w:rPr>
        <w:fldChar w:fldCharType="separate"/>
      </w:r>
      <w:r>
        <w:rPr>
          <w:rStyle w:val="5"/>
          <w:rFonts w:hint="eastAsia" w:ascii="宋体" w:hAnsi="宋体" w:eastAsia="宋体" w:cs="宋体"/>
          <w:i w:val="0"/>
          <w:iCs w:val="0"/>
          <w:caps w:val="0"/>
          <w:color w:val="0026E5"/>
          <w:spacing w:val="0"/>
          <w:sz w:val="13"/>
          <w:szCs w:val="13"/>
          <w:u w:val="single"/>
          <w:bdr w:val="none" w:color="auto" w:sz="0" w:space="0"/>
          <w:shd w:val="clear" w:fill="FFFFFF"/>
        </w:rPr>
        <w:t>《湖南省教师资格认定体检表》（点击下载）</w:t>
      </w:r>
      <w:r>
        <w:rPr>
          <w:rFonts w:hint="default" w:ascii="Times New Roman" w:hAnsi="Times New Roman" w:cs="Times New Roman"/>
          <w:i w:val="0"/>
          <w:iCs w:val="0"/>
          <w:caps w:val="0"/>
          <w:color w:val="333333"/>
          <w:spacing w:val="0"/>
          <w:sz w:val="13"/>
          <w:szCs w:val="13"/>
          <w:u w:val="none"/>
          <w:bdr w:val="none" w:color="auto" w:sz="0" w:space="0"/>
          <w:shd w:val="clear" w:fill="FFFFFF"/>
        </w:rPr>
        <w:fldChar w:fldCharType="end"/>
      </w:r>
      <w:r>
        <w:rPr>
          <w:rFonts w:hint="eastAsia" w:ascii="宋体" w:hAnsi="宋体" w:eastAsia="宋体" w:cs="宋体"/>
          <w:i w:val="0"/>
          <w:iCs w:val="0"/>
          <w:caps w:val="0"/>
          <w:color w:val="000000"/>
          <w:spacing w:val="0"/>
          <w:sz w:val="32"/>
          <w:szCs w:val="32"/>
          <w:bdr w:val="none" w:color="auto" w:sz="0" w:space="0"/>
          <w:shd w:val="clear" w:fill="FFFFFF"/>
        </w:rPr>
        <w:t>等体检结果材料由指定体检医院直接转送至本认定机构，不需申请人领取，也不需另行提交。</w:t>
      </w:r>
    </w:p>
    <w:p w14:paraId="5C4B6E5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p>
    <w:p w14:paraId="085774A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9" w:beforeAutospacing="0" w:after="574" w:afterAutospacing="0" w:line="560" w:lineRule="atLeast"/>
        <w:ind w:left="0" w:right="0" w:firstLine="0"/>
        <w:rPr>
          <w:rFonts w:hint="eastAsia" w:ascii="黑体" w:hAnsi="宋体" w:eastAsia="黑体" w:cs="黑体"/>
          <w:i w:val="0"/>
          <w:iCs w:val="0"/>
          <w:caps w:val="0"/>
          <w:color w:val="333333"/>
          <w:spacing w:val="0"/>
          <w:sz w:val="32"/>
          <w:szCs w:val="32"/>
        </w:rPr>
      </w:pPr>
      <w:r>
        <w:rPr>
          <w:rFonts w:hint="eastAsia" w:ascii="黑体" w:hAnsi="宋体" w:eastAsia="黑体" w:cs="黑体"/>
          <w:i w:val="0"/>
          <w:iCs w:val="0"/>
          <w:caps w:val="0"/>
          <w:color w:val="333333"/>
          <w:spacing w:val="0"/>
          <w:sz w:val="32"/>
          <w:szCs w:val="32"/>
          <w:bdr w:val="none" w:color="auto" w:sz="0" w:space="0"/>
          <w:shd w:val="clear" w:fill="FFFFFF"/>
        </w:rPr>
        <w:t>附件2</w:t>
      </w:r>
    </w:p>
    <w:p w14:paraId="3B76675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7" w:beforeAutospacing="0" w:after="574" w:afterAutospacing="0" w:line="560" w:lineRule="atLeast"/>
        <w:ind w:left="0" w:right="0" w:firstLine="0"/>
        <w:jc w:val="center"/>
        <w:rPr>
          <w:rFonts w:hint="default" w:ascii="方正小标宋简体" w:hAnsi="方正小标宋简体" w:eastAsia="方正小标宋简体" w:cs="方正小标宋简体"/>
          <w:i w:val="0"/>
          <w:iCs w:val="0"/>
          <w:caps w:val="0"/>
          <w:color w:val="000000"/>
          <w:spacing w:val="0"/>
          <w:sz w:val="44"/>
          <w:szCs w:val="44"/>
        </w:rPr>
      </w:pPr>
      <w:r>
        <w:rPr>
          <w:rFonts w:hint="default" w:ascii="方正小标宋简体" w:hAnsi="方正小标宋简体" w:eastAsia="方正小标宋简体" w:cs="方正小标宋简体"/>
          <w:i w:val="0"/>
          <w:iCs w:val="0"/>
          <w:caps w:val="0"/>
          <w:color w:val="000000"/>
          <w:spacing w:val="0"/>
          <w:sz w:val="44"/>
          <w:szCs w:val="44"/>
          <w:bdr w:val="none" w:color="auto" w:sz="0" w:space="0"/>
          <w:shd w:val="clear" w:fill="FFFFFF"/>
        </w:rPr>
        <w:t>湘潭市教育局教师资格认定体检事项</w:t>
      </w:r>
    </w:p>
    <w:p w14:paraId="6DB298F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eastAsia" w:ascii="黑体" w:hAnsi="宋体" w:eastAsia="黑体" w:cs="黑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shd w:val="clear" w:fill="FFFFFF"/>
        </w:rPr>
        <w:t>一、体检医院</w:t>
      </w:r>
    </w:p>
    <w:p w14:paraId="493EFC4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7"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湘潭市教育局认定高级中学教师资格、中等职业学校教师资格和中等职业学校实习指导教师资格的体检安排如下：</w:t>
      </w:r>
    </w:p>
    <w:tbl>
      <w:tblPr>
        <w:tblW w:w="959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1237"/>
        <w:gridCol w:w="2615"/>
        <w:gridCol w:w="2743"/>
        <w:gridCol w:w="2995"/>
      </w:tblGrid>
      <w:tr w14:paraId="33A21EF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645" w:type="pct"/>
            <w:tcBorders>
              <w:top w:val="single" w:color="auto" w:sz="4" w:space="0"/>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6585EE4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color w:val="000000"/>
                <w:sz w:val="32"/>
                <w:szCs w:val="32"/>
              </w:rPr>
            </w:pPr>
            <w:r>
              <w:rPr>
                <w:rFonts w:ascii="仿_GB2312" w:hAnsi="仿_GB2312" w:eastAsia="仿_GB2312" w:cs="仿_GB2312"/>
                <w:color w:val="000000"/>
                <w:sz w:val="24"/>
                <w:szCs w:val="24"/>
                <w:bdr w:val="none" w:color="auto" w:sz="0" w:space="0"/>
              </w:rPr>
              <w:t>体检医院</w:t>
            </w:r>
          </w:p>
        </w:tc>
        <w:tc>
          <w:tcPr>
            <w:tcW w:w="1363" w:type="pct"/>
            <w:tcBorders>
              <w:top w:val="single" w:color="auto" w:sz="4" w:space="0"/>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42E928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color w:val="000000"/>
                <w:sz w:val="32"/>
                <w:szCs w:val="32"/>
              </w:rPr>
            </w:pPr>
            <w:r>
              <w:rPr>
                <w:rFonts w:hint="default" w:ascii="仿_GB2312" w:hAnsi="仿_GB2312" w:eastAsia="仿_GB2312" w:cs="仿_GB2312"/>
                <w:color w:val="000000"/>
                <w:sz w:val="24"/>
                <w:szCs w:val="24"/>
                <w:bdr w:val="none" w:color="auto" w:sz="0" w:space="0"/>
              </w:rPr>
              <w:t>湘潭市第二人民医院</w:t>
            </w:r>
          </w:p>
        </w:tc>
        <w:tc>
          <w:tcPr>
            <w:tcW w:w="1430" w:type="pct"/>
            <w:tcBorders>
              <w:top w:val="single" w:color="auto" w:sz="4" w:space="0"/>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3D5636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color w:val="000000"/>
                <w:sz w:val="32"/>
                <w:szCs w:val="32"/>
              </w:rPr>
            </w:pPr>
            <w:r>
              <w:rPr>
                <w:rFonts w:hint="default" w:ascii="仿_GB2312" w:hAnsi="仿_GB2312" w:eastAsia="仿_GB2312" w:cs="仿_GB2312"/>
                <w:color w:val="000000"/>
                <w:sz w:val="24"/>
                <w:szCs w:val="24"/>
                <w:bdr w:val="none" w:color="auto" w:sz="0" w:space="0"/>
              </w:rPr>
              <w:t>湘潭市中医医院</w:t>
            </w:r>
          </w:p>
        </w:tc>
        <w:tc>
          <w:tcPr>
            <w:tcW w:w="1561" w:type="pct"/>
            <w:tcBorders>
              <w:top w:val="single" w:color="auto" w:sz="4" w:space="0"/>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271DA5C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color w:val="000000"/>
                <w:sz w:val="32"/>
                <w:szCs w:val="32"/>
              </w:rPr>
            </w:pPr>
            <w:r>
              <w:rPr>
                <w:rFonts w:hint="default" w:ascii="仿_GB2312" w:hAnsi="仿_GB2312" w:eastAsia="仿_GB2312" w:cs="仿_GB2312"/>
                <w:color w:val="000000"/>
                <w:sz w:val="24"/>
                <w:szCs w:val="24"/>
                <w:bdr w:val="none" w:color="auto" w:sz="0" w:space="0"/>
              </w:rPr>
              <w:t>湘潭市第五人民医院</w:t>
            </w:r>
          </w:p>
        </w:tc>
      </w:tr>
      <w:tr w14:paraId="21D24E8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645" w:type="pct"/>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1D7BA3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color w:val="000000"/>
                <w:sz w:val="32"/>
                <w:szCs w:val="32"/>
              </w:rPr>
            </w:pPr>
            <w:r>
              <w:rPr>
                <w:rFonts w:hint="default" w:ascii="仿_GB2312" w:hAnsi="仿_GB2312" w:eastAsia="仿_GB2312" w:cs="仿_GB2312"/>
                <w:color w:val="000000"/>
                <w:sz w:val="24"/>
                <w:szCs w:val="24"/>
                <w:bdr w:val="none" w:color="auto" w:sz="0" w:space="0"/>
              </w:rPr>
              <w:t>体检地址</w:t>
            </w:r>
          </w:p>
        </w:tc>
        <w:tc>
          <w:tcPr>
            <w:tcW w:w="1363" w:type="pct"/>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787D5C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color w:val="000000"/>
                <w:sz w:val="32"/>
                <w:szCs w:val="32"/>
              </w:rPr>
            </w:pPr>
            <w:r>
              <w:rPr>
                <w:rFonts w:hint="default" w:ascii="仿_GB2312" w:hAnsi="仿_GB2312" w:eastAsia="仿_GB2312" w:cs="仿_GB2312"/>
                <w:color w:val="000000"/>
                <w:sz w:val="24"/>
                <w:szCs w:val="24"/>
                <w:bdr w:val="none" w:color="auto" w:sz="0" w:space="0"/>
              </w:rPr>
              <w:t>雨湖区大湖北路</w:t>
            </w:r>
            <w:r>
              <w:rPr>
                <w:rFonts w:hint="default" w:ascii="Times New Roman" w:hAnsi="Times New Roman" w:eastAsia="仿宋" w:cs="Times New Roman"/>
                <w:color w:val="000000"/>
                <w:sz w:val="24"/>
                <w:szCs w:val="24"/>
                <w:bdr w:val="none" w:color="auto" w:sz="0" w:space="0"/>
              </w:rPr>
              <w:t>38</w:t>
            </w:r>
            <w:r>
              <w:rPr>
                <w:rFonts w:hint="default" w:ascii="仿_GB2312" w:hAnsi="仿_GB2312" w:eastAsia="仿_GB2312" w:cs="仿_GB2312"/>
                <w:color w:val="000000"/>
                <w:sz w:val="24"/>
                <w:szCs w:val="24"/>
                <w:bdr w:val="none" w:color="auto" w:sz="0" w:space="0"/>
              </w:rPr>
              <w:t>号</w:t>
            </w:r>
          </w:p>
          <w:p w14:paraId="72AEEB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color w:val="000000"/>
                <w:sz w:val="32"/>
                <w:szCs w:val="32"/>
              </w:rPr>
            </w:pPr>
            <w:r>
              <w:rPr>
                <w:rFonts w:hint="default" w:ascii="仿_GB2312" w:hAnsi="仿_GB2312" w:eastAsia="仿_GB2312" w:cs="仿_GB2312"/>
                <w:color w:val="000000"/>
                <w:sz w:val="24"/>
                <w:szCs w:val="24"/>
                <w:bdr w:val="none" w:color="auto" w:sz="0" w:space="0"/>
              </w:rPr>
              <w:t>行政一楼健康管理科</w:t>
            </w:r>
          </w:p>
        </w:tc>
        <w:tc>
          <w:tcPr>
            <w:tcW w:w="1430" w:type="pct"/>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524299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color w:val="000000"/>
                <w:sz w:val="32"/>
                <w:szCs w:val="32"/>
              </w:rPr>
            </w:pPr>
            <w:r>
              <w:rPr>
                <w:rFonts w:hint="default" w:ascii="仿_GB2312" w:hAnsi="仿_GB2312" w:eastAsia="仿_GB2312" w:cs="仿_GB2312"/>
                <w:color w:val="000000"/>
                <w:sz w:val="24"/>
                <w:szCs w:val="24"/>
                <w:bdr w:val="none" w:color="auto" w:sz="0" w:space="0"/>
              </w:rPr>
              <w:t>雨湖区人民路</w:t>
            </w:r>
            <w:r>
              <w:rPr>
                <w:rFonts w:hint="default" w:ascii="Times New Roman" w:hAnsi="Times New Roman" w:eastAsia="仿宋" w:cs="Times New Roman"/>
                <w:color w:val="000000"/>
                <w:sz w:val="24"/>
                <w:szCs w:val="24"/>
                <w:bdr w:val="none" w:color="auto" w:sz="0" w:space="0"/>
              </w:rPr>
              <w:t>238</w:t>
            </w:r>
            <w:r>
              <w:rPr>
                <w:rFonts w:hint="default" w:ascii="仿_GB2312" w:hAnsi="仿_GB2312" w:eastAsia="仿_GB2312" w:cs="仿_GB2312"/>
                <w:color w:val="000000"/>
                <w:sz w:val="24"/>
                <w:szCs w:val="24"/>
                <w:bdr w:val="none" w:color="auto" w:sz="0" w:space="0"/>
              </w:rPr>
              <w:t>号</w:t>
            </w:r>
          </w:p>
          <w:p w14:paraId="2CB0D5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color w:val="000000"/>
                <w:sz w:val="32"/>
                <w:szCs w:val="32"/>
              </w:rPr>
            </w:pPr>
            <w:r>
              <w:rPr>
                <w:rFonts w:hint="default" w:ascii="仿_GB2312" w:hAnsi="仿_GB2312" w:eastAsia="仿_GB2312" w:cs="仿_GB2312"/>
                <w:color w:val="000000"/>
                <w:sz w:val="24"/>
                <w:szCs w:val="24"/>
                <w:bdr w:val="none" w:color="auto" w:sz="0" w:space="0"/>
              </w:rPr>
              <w:t>老门诊四楼治未病中心</w:t>
            </w:r>
          </w:p>
        </w:tc>
        <w:tc>
          <w:tcPr>
            <w:tcW w:w="1561" w:type="pct"/>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4242E4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color w:val="000000"/>
                <w:sz w:val="32"/>
                <w:szCs w:val="32"/>
              </w:rPr>
            </w:pPr>
            <w:r>
              <w:rPr>
                <w:rFonts w:hint="default" w:ascii="仿_GB2312" w:hAnsi="仿_GB2312" w:eastAsia="仿_GB2312" w:cs="仿_GB2312"/>
                <w:color w:val="000000"/>
                <w:sz w:val="24"/>
                <w:szCs w:val="24"/>
                <w:bdr w:val="none" w:color="auto" w:sz="0" w:space="0"/>
              </w:rPr>
              <w:t>雨湖区北二环路</w:t>
            </w:r>
            <w:r>
              <w:rPr>
                <w:rFonts w:hint="default" w:ascii="Times New Roman" w:hAnsi="Times New Roman" w:eastAsia="仿宋" w:cs="Times New Roman"/>
                <w:color w:val="000000"/>
                <w:sz w:val="24"/>
                <w:szCs w:val="24"/>
                <w:bdr w:val="none" w:color="auto" w:sz="0" w:space="0"/>
              </w:rPr>
              <w:t>10</w:t>
            </w:r>
            <w:r>
              <w:rPr>
                <w:rFonts w:hint="default" w:ascii="仿_GB2312" w:hAnsi="仿_GB2312" w:eastAsia="仿_GB2312" w:cs="仿_GB2312"/>
                <w:color w:val="000000"/>
                <w:sz w:val="24"/>
                <w:szCs w:val="24"/>
                <w:bdr w:val="none" w:color="auto" w:sz="0" w:space="0"/>
              </w:rPr>
              <w:t>号</w:t>
            </w:r>
          </w:p>
          <w:p w14:paraId="7D4580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color w:val="000000"/>
                <w:sz w:val="32"/>
                <w:szCs w:val="32"/>
              </w:rPr>
            </w:pPr>
            <w:r>
              <w:rPr>
                <w:rFonts w:hint="default" w:ascii="仿_GB2312" w:hAnsi="仿_GB2312" w:eastAsia="仿_GB2312" w:cs="仿_GB2312"/>
                <w:color w:val="000000"/>
                <w:sz w:val="24"/>
                <w:szCs w:val="24"/>
                <w:bdr w:val="none" w:color="auto" w:sz="0" w:space="0"/>
              </w:rPr>
              <w:t>综合门诊楼一楼体检中心</w:t>
            </w:r>
          </w:p>
        </w:tc>
      </w:tr>
      <w:tr w14:paraId="36F0329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645" w:type="pct"/>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0A8E5B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color w:val="000000"/>
                <w:sz w:val="32"/>
                <w:szCs w:val="32"/>
              </w:rPr>
            </w:pPr>
            <w:r>
              <w:rPr>
                <w:rFonts w:hint="default" w:ascii="仿_GB2312" w:hAnsi="仿_GB2312" w:eastAsia="仿_GB2312" w:cs="仿_GB2312"/>
                <w:color w:val="000000"/>
                <w:sz w:val="24"/>
                <w:szCs w:val="24"/>
                <w:bdr w:val="none" w:color="auto" w:sz="0" w:space="0"/>
              </w:rPr>
              <w:t>联系方式</w:t>
            </w:r>
          </w:p>
        </w:tc>
        <w:tc>
          <w:tcPr>
            <w:tcW w:w="1363" w:type="pct"/>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6CB96E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color w:val="000000"/>
                <w:sz w:val="32"/>
                <w:szCs w:val="32"/>
              </w:rPr>
            </w:pPr>
            <w:r>
              <w:rPr>
                <w:rFonts w:hint="default" w:ascii="Times New Roman" w:hAnsi="Times New Roman" w:cs="Times New Roman"/>
                <w:color w:val="000000"/>
                <w:sz w:val="24"/>
                <w:szCs w:val="24"/>
                <w:bdr w:val="none" w:color="auto" w:sz="0" w:space="0"/>
              </w:rPr>
              <w:t>0731—52705335</w:t>
            </w:r>
          </w:p>
        </w:tc>
        <w:tc>
          <w:tcPr>
            <w:tcW w:w="1430" w:type="pct"/>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47EE43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color w:val="000000"/>
                <w:sz w:val="32"/>
                <w:szCs w:val="32"/>
              </w:rPr>
            </w:pPr>
            <w:r>
              <w:rPr>
                <w:rFonts w:hint="default" w:ascii="Times New Roman" w:hAnsi="Times New Roman" w:cs="Times New Roman"/>
                <w:color w:val="000000"/>
                <w:sz w:val="24"/>
                <w:szCs w:val="24"/>
                <w:bdr w:val="none" w:color="auto" w:sz="0" w:space="0"/>
              </w:rPr>
              <w:t>0731—55519319</w:t>
            </w:r>
          </w:p>
        </w:tc>
        <w:tc>
          <w:tcPr>
            <w:tcW w:w="1561" w:type="pct"/>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5179D7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color w:val="000000"/>
                <w:sz w:val="32"/>
                <w:szCs w:val="32"/>
              </w:rPr>
            </w:pPr>
            <w:r>
              <w:rPr>
                <w:rFonts w:hint="default" w:ascii="Times New Roman" w:hAnsi="Times New Roman" w:cs="Times New Roman"/>
                <w:color w:val="000000"/>
                <w:sz w:val="24"/>
                <w:szCs w:val="24"/>
                <w:bdr w:val="none" w:color="auto" w:sz="0" w:space="0"/>
              </w:rPr>
              <w:t>0731—52875090</w:t>
            </w:r>
          </w:p>
        </w:tc>
      </w:tr>
      <w:tr w14:paraId="79E9FB5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67" w:hRule="atLeast"/>
          <w:jc w:val="center"/>
        </w:trPr>
        <w:tc>
          <w:tcPr>
            <w:tcW w:w="645" w:type="pct"/>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426D7D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color w:val="000000"/>
                <w:sz w:val="32"/>
                <w:szCs w:val="32"/>
              </w:rPr>
            </w:pPr>
            <w:r>
              <w:rPr>
                <w:rFonts w:hint="default" w:ascii="仿_GB2312" w:hAnsi="仿_GB2312" w:eastAsia="仿_GB2312" w:cs="仿_GB2312"/>
                <w:color w:val="000000"/>
                <w:sz w:val="24"/>
                <w:szCs w:val="24"/>
                <w:bdr w:val="none" w:color="auto" w:sz="0" w:space="0"/>
              </w:rPr>
              <w:t>体检时间</w:t>
            </w:r>
          </w:p>
        </w:tc>
        <w:tc>
          <w:tcPr>
            <w:tcW w:w="4354" w:type="pct"/>
            <w:gridSpan w:val="3"/>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02183C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color w:val="000000"/>
                <w:sz w:val="32"/>
                <w:szCs w:val="32"/>
              </w:rPr>
            </w:pPr>
            <w:r>
              <w:rPr>
                <w:rFonts w:hint="default" w:ascii="Times New Roman" w:hAnsi="Times New Roman" w:eastAsia="仿宋" w:cs="Times New Roman"/>
                <w:color w:val="000000"/>
                <w:sz w:val="24"/>
                <w:szCs w:val="24"/>
                <w:bdr w:val="none" w:color="auto" w:sz="0" w:space="0"/>
              </w:rPr>
              <w:t>2024</w:t>
            </w:r>
            <w:r>
              <w:rPr>
                <w:rFonts w:hint="default" w:ascii="仿_GB2312" w:hAnsi="仿_GB2312" w:eastAsia="仿_GB2312" w:cs="仿_GB2312"/>
                <w:color w:val="000000"/>
                <w:sz w:val="24"/>
                <w:szCs w:val="24"/>
                <w:bdr w:val="none" w:color="auto" w:sz="0" w:space="0"/>
              </w:rPr>
              <w:t>年</w:t>
            </w:r>
            <w:r>
              <w:rPr>
                <w:rFonts w:hint="default" w:ascii="Times New Roman" w:hAnsi="Times New Roman" w:eastAsia="仿宋" w:cs="Times New Roman"/>
                <w:color w:val="000000"/>
                <w:sz w:val="24"/>
                <w:szCs w:val="24"/>
                <w:bdr w:val="none" w:color="auto" w:sz="0" w:space="0"/>
              </w:rPr>
              <w:t>9</w:t>
            </w:r>
            <w:r>
              <w:rPr>
                <w:rFonts w:hint="default" w:ascii="仿_GB2312" w:hAnsi="仿_GB2312" w:eastAsia="仿_GB2312" w:cs="仿_GB2312"/>
                <w:color w:val="000000"/>
                <w:sz w:val="24"/>
                <w:szCs w:val="24"/>
                <w:bdr w:val="none" w:color="auto" w:sz="0" w:space="0"/>
              </w:rPr>
              <w:t>月</w:t>
            </w:r>
            <w:r>
              <w:rPr>
                <w:rFonts w:hint="default" w:ascii="Times New Roman" w:hAnsi="Times New Roman" w:eastAsia="仿宋" w:cs="Times New Roman"/>
                <w:color w:val="000000"/>
                <w:sz w:val="24"/>
                <w:szCs w:val="24"/>
                <w:bdr w:val="none" w:color="auto" w:sz="0" w:space="0"/>
              </w:rPr>
              <w:t>30</w:t>
            </w:r>
            <w:r>
              <w:rPr>
                <w:rFonts w:hint="default" w:ascii="仿_GB2312" w:hAnsi="仿_GB2312" w:eastAsia="仿_GB2312" w:cs="仿_GB2312"/>
                <w:color w:val="000000"/>
                <w:sz w:val="24"/>
                <w:szCs w:val="24"/>
                <w:bdr w:val="none" w:color="auto" w:sz="0" w:space="0"/>
              </w:rPr>
              <w:t>日以前，工作日上午</w:t>
            </w:r>
            <w:r>
              <w:rPr>
                <w:rFonts w:hint="default" w:ascii="Times New Roman" w:hAnsi="Times New Roman" w:eastAsia="仿宋" w:cs="Times New Roman"/>
                <w:color w:val="000000"/>
                <w:sz w:val="24"/>
                <w:szCs w:val="24"/>
                <w:bdr w:val="none" w:color="auto" w:sz="0" w:space="0"/>
              </w:rPr>
              <w:t>7:30</w:t>
            </w:r>
            <w:r>
              <w:rPr>
                <w:rFonts w:hint="default" w:ascii="仿_GB2312" w:hAnsi="仿_GB2312" w:eastAsia="仿_GB2312" w:cs="仿_GB2312"/>
                <w:color w:val="000000"/>
                <w:sz w:val="24"/>
                <w:szCs w:val="24"/>
                <w:bdr w:val="none" w:color="auto" w:sz="0" w:space="0"/>
              </w:rPr>
              <w:t>—</w:t>
            </w:r>
            <w:r>
              <w:rPr>
                <w:rFonts w:hint="default" w:ascii="Times New Roman" w:hAnsi="Times New Roman" w:eastAsia="仿宋" w:cs="Times New Roman"/>
                <w:color w:val="000000"/>
                <w:sz w:val="24"/>
                <w:szCs w:val="24"/>
                <w:bdr w:val="none" w:color="auto" w:sz="0" w:space="0"/>
              </w:rPr>
              <w:t>11:00</w:t>
            </w:r>
          </w:p>
        </w:tc>
      </w:tr>
    </w:tbl>
    <w:p w14:paraId="6684BD2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7" w:beforeAutospacing="0" w:after="0" w:afterAutospacing="0" w:line="560" w:lineRule="atLeast"/>
        <w:ind w:left="0" w:right="0" w:firstLine="624"/>
        <w:jc w:val="both"/>
        <w:rPr>
          <w:rFonts w:hint="eastAsia" w:ascii="黑体" w:hAnsi="宋体" w:eastAsia="黑体" w:cs="黑体"/>
          <w:i w:val="0"/>
          <w:iCs w:val="0"/>
          <w:caps w:val="0"/>
          <w:color w:val="000000"/>
          <w:spacing w:val="0"/>
          <w:sz w:val="32"/>
          <w:szCs w:val="32"/>
        </w:rPr>
      </w:pPr>
      <w:r>
        <w:rPr>
          <w:rFonts w:hint="eastAsia" w:ascii="黑体" w:hAnsi="宋体" w:eastAsia="黑体" w:cs="黑体"/>
          <w:i w:val="0"/>
          <w:iCs w:val="0"/>
          <w:caps w:val="0"/>
          <w:color w:val="000000"/>
          <w:spacing w:val="0"/>
          <w:sz w:val="32"/>
          <w:szCs w:val="32"/>
          <w:bdr w:val="none" w:color="auto" w:sz="0" w:space="0"/>
          <w:shd w:val="clear" w:fill="FFFFFF"/>
        </w:rPr>
        <w:t>二、有关要求</w:t>
      </w:r>
    </w:p>
    <w:p w14:paraId="2759FB0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6"/>
        <w:rPr>
          <w:rFonts w:hint="default" w:ascii="Times New Roman" w:hAnsi="Times New Roman" w:cs="Times New Roman"/>
          <w:b/>
          <w:bCs/>
          <w:i w:val="0"/>
          <w:iCs w:val="0"/>
          <w:caps w:val="0"/>
          <w:color w:val="000000"/>
          <w:spacing w:val="0"/>
          <w:sz w:val="32"/>
          <w:szCs w:val="32"/>
        </w:rPr>
      </w:pPr>
      <w:r>
        <w:rPr>
          <w:rFonts w:hint="default" w:ascii="Times New Roman" w:hAnsi="Times New Roman" w:eastAsia="楷体" w:cs="Times New Roman"/>
          <w:b/>
          <w:bCs/>
          <w:i w:val="0"/>
          <w:iCs w:val="0"/>
          <w:caps w:val="0"/>
          <w:color w:val="000000"/>
          <w:spacing w:val="0"/>
          <w:sz w:val="32"/>
          <w:szCs w:val="32"/>
          <w:bdr w:val="none" w:color="auto" w:sz="0" w:space="0"/>
          <w:shd w:val="clear" w:fill="FFFFFF"/>
        </w:rPr>
        <w:t>1</w:t>
      </w:r>
      <w:r>
        <w:rPr>
          <w:rFonts w:ascii="楷_GB2312" w:hAnsi="楷_GB2312" w:eastAsia="楷_GB2312" w:cs="楷_GB2312"/>
          <w:b/>
          <w:bCs/>
          <w:i w:val="0"/>
          <w:iCs w:val="0"/>
          <w:caps w:val="0"/>
          <w:color w:val="000000"/>
          <w:spacing w:val="0"/>
          <w:sz w:val="32"/>
          <w:szCs w:val="32"/>
          <w:bdr w:val="none" w:color="auto" w:sz="0" w:space="0"/>
          <w:shd w:val="clear" w:fill="FFFFFF"/>
        </w:rPr>
        <w:t>．预约分流</w:t>
      </w:r>
    </w:p>
    <w:p w14:paraId="2EA21A0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为错峰分流，建议申请人提前预约。</w:t>
      </w:r>
    </w:p>
    <w:p w14:paraId="2F05BC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6"/>
        <w:rPr>
          <w:rFonts w:hint="default" w:ascii="Times New Roman" w:hAnsi="Times New Roman" w:cs="Times New Roman"/>
          <w:b/>
          <w:bCs/>
          <w:i w:val="0"/>
          <w:iCs w:val="0"/>
          <w:caps w:val="0"/>
          <w:color w:val="000000"/>
          <w:spacing w:val="0"/>
          <w:sz w:val="32"/>
          <w:szCs w:val="32"/>
        </w:rPr>
      </w:pPr>
      <w:r>
        <w:rPr>
          <w:rFonts w:hint="default" w:ascii="Times New Roman" w:hAnsi="Times New Roman" w:eastAsia="楷体" w:cs="Times New Roman"/>
          <w:b/>
          <w:bCs/>
          <w:i w:val="0"/>
          <w:iCs w:val="0"/>
          <w:caps w:val="0"/>
          <w:color w:val="000000"/>
          <w:spacing w:val="0"/>
          <w:sz w:val="32"/>
          <w:szCs w:val="32"/>
          <w:bdr w:val="none" w:color="auto" w:sz="0" w:space="0"/>
          <w:shd w:val="clear" w:fill="FFFFFF"/>
        </w:rPr>
        <w:t>2</w:t>
      </w:r>
      <w:r>
        <w:rPr>
          <w:rFonts w:hint="default" w:ascii="楷_GB2312" w:hAnsi="楷_GB2312" w:eastAsia="楷_GB2312" w:cs="楷_GB2312"/>
          <w:b/>
          <w:bCs/>
          <w:i w:val="0"/>
          <w:iCs w:val="0"/>
          <w:caps w:val="0"/>
          <w:color w:val="000000"/>
          <w:spacing w:val="0"/>
          <w:sz w:val="32"/>
          <w:szCs w:val="32"/>
          <w:bdr w:val="none" w:color="auto" w:sz="0" w:space="0"/>
          <w:shd w:val="clear" w:fill="FFFFFF"/>
        </w:rPr>
        <w:t>．体检准备</w:t>
      </w:r>
    </w:p>
    <w:p w14:paraId="3C54560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体检前一天，请保持正常饮食，不饮酒，不暴饮暴食，避免剧烈运动和情绪激动，休息好。体检当日清晨空腹禁食水，不化妆，不佩戴贵重饰品，穿着宽松衣服，可佩戴口罩。</w:t>
      </w:r>
    </w:p>
    <w:p w14:paraId="0858909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6"/>
        <w:rPr>
          <w:rFonts w:hint="default" w:ascii="Times New Roman" w:hAnsi="Times New Roman" w:cs="Times New Roman"/>
          <w:b/>
          <w:bCs/>
          <w:i w:val="0"/>
          <w:iCs w:val="0"/>
          <w:caps w:val="0"/>
          <w:color w:val="000000"/>
          <w:spacing w:val="0"/>
          <w:sz w:val="32"/>
          <w:szCs w:val="32"/>
        </w:rPr>
      </w:pPr>
      <w:r>
        <w:rPr>
          <w:rFonts w:hint="default" w:ascii="Times New Roman" w:hAnsi="Times New Roman" w:eastAsia="楷体" w:cs="Times New Roman"/>
          <w:b/>
          <w:bCs/>
          <w:i w:val="0"/>
          <w:iCs w:val="0"/>
          <w:caps w:val="0"/>
          <w:color w:val="000000"/>
          <w:spacing w:val="0"/>
          <w:sz w:val="32"/>
          <w:szCs w:val="32"/>
          <w:bdr w:val="none" w:color="auto" w:sz="0" w:space="0"/>
          <w:shd w:val="clear" w:fill="FFFFFF"/>
        </w:rPr>
        <w:t>3</w:t>
      </w:r>
      <w:r>
        <w:rPr>
          <w:rFonts w:hint="default" w:ascii="楷_GB2312" w:hAnsi="楷_GB2312" w:eastAsia="楷_GB2312" w:cs="楷_GB2312"/>
          <w:b/>
          <w:bCs/>
          <w:i w:val="0"/>
          <w:iCs w:val="0"/>
          <w:caps w:val="0"/>
          <w:color w:val="000000"/>
          <w:spacing w:val="0"/>
          <w:sz w:val="32"/>
          <w:szCs w:val="32"/>
          <w:bdr w:val="none" w:color="auto" w:sz="0" w:space="0"/>
          <w:shd w:val="clear" w:fill="FFFFFF"/>
        </w:rPr>
        <w:t>．体检材料</w:t>
      </w:r>
    </w:p>
    <w:p w14:paraId="16B248A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体检时请携带本人身份证和</w:t>
      </w:r>
      <w:r>
        <w:rPr>
          <w:rFonts w:hint="default" w:ascii="Times New Roman" w:hAnsi="Times New Roman" w:cs="Times New Roman"/>
          <w:i w:val="0"/>
          <w:iCs w:val="0"/>
          <w:caps w:val="0"/>
          <w:color w:val="333333"/>
          <w:spacing w:val="0"/>
          <w:sz w:val="13"/>
          <w:szCs w:val="13"/>
          <w:u w:val="none"/>
          <w:bdr w:val="none" w:color="auto" w:sz="0" w:space="0"/>
          <w:shd w:val="clear" w:fill="FFFFFF"/>
        </w:rPr>
        <w:fldChar w:fldCharType="begin"/>
      </w:r>
      <w:r>
        <w:rPr>
          <w:rFonts w:hint="default" w:ascii="Times New Roman" w:hAnsi="Times New Roman" w:cs="Times New Roman"/>
          <w:i w:val="0"/>
          <w:iCs w:val="0"/>
          <w:caps w:val="0"/>
          <w:color w:val="333333"/>
          <w:spacing w:val="0"/>
          <w:sz w:val="13"/>
          <w:szCs w:val="13"/>
          <w:u w:val="none"/>
          <w:bdr w:val="none" w:color="auto" w:sz="0" w:space="0"/>
          <w:shd w:val="clear" w:fill="FFFFFF"/>
        </w:rPr>
        <w:instrText xml:space="preserve"> HYPERLINK "http://jy.xiangtan.gov.cn/uploadfiles/202304/20230427171834106.docx" </w:instrText>
      </w:r>
      <w:r>
        <w:rPr>
          <w:rFonts w:hint="default" w:ascii="Times New Roman" w:hAnsi="Times New Roman" w:cs="Times New Roman"/>
          <w:i w:val="0"/>
          <w:iCs w:val="0"/>
          <w:caps w:val="0"/>
          <w:color w:val="333333"/>
          <w:spacing w:val="0"/>
          <w:sz w:val="13"/>
          <w:szCs w:val="13"/>
          <w:u w:val="none"/>
          <w:bdr w:val="none" w:color="auto" w:sz="0" w:space="0"/>
          <w:shd w:val="clear" w:fill="FFFFFF"/>
        </w:rPr>
        <w:fldChar w:fldCharType="separate"/>
      </w:r>
      <w:r>
        <w:rPr>
          <w:rStyle w:val="5"/>
          <w:rFonts w:hint="eastAsia" w:ascii="宋体" w:hAnsi="宋体" w:eastAsia="宋体" w:cs="宋体"/>
          <w:i w:val="0"/>
          <w:iCs w:val="0"/>
          <w:caps w:val="0"/>
          <w:color w:val="0026E5"/>
          <w:spacing w:val="0"/>
          <w:sz w:val="13"/>
          <w:szCs w:val="13"/>
          <w:u w:val="single"/>
          <w:bdr w:val="none" w:color="auto" w:sz="0" w:space="0"/>
          <w:shd w:val="clear" w:fill="FFFFFF"/>
        </w:rPr>
        <w:t>《湖南省教师资格认定体检表》（点击下载）</w:t>
      </w:r>
      <w:r>
        <w:rPr>
          <w:rFonts w:hint="default" w:ascii="Times New Roman" w:hAnsi="Times New Roman" w:cs="Times New Roman"/>
          <w:i w:val="0"/>
          <w:iCs w:val="0"/>
          <w:caps w:val="0"/>
          <w:color w:val="333333"/>
          <w:spacing w:val="0"/>
          <w:sz w:val="13"/>
          <w:szCs w:val="13"/>
          <w:u w:val="none"/>
          <w:bdr w:val="none" w:color="auto" w:sz="0" w:space="0"/>
          <w:shd w:val="clear" w:fill="FFFFFF"/>
        </w:rPr>
        <w:fldChar w:fldCharType="end"/>
      </w:r>
      <w:r>
        <w:rPr>
          <w:rFonts w:hint="eastAsia" w:ascii="宋体" w:hAnsi="宋体" w:eastAsia="宋体" w:cs="宋体"/>
          <w:i w:val="0"/>
          <w:iCs w:val="0"/>
          <w:caps w:val="0"/>
          <w:color w:val="000000"/>
          <w:spacing w:val="0"/>
          <w:sz w:val="32"/>
          <w:szCs w:val="32"/>
          <w:bdr w:val="none" w:color="auto" w:sz="0" w:space="0"/>
          <w:shd w:val="clear" w:fill="FFFFFF"/>
        </w:rPr>
        <w:t>。为减少在医院填表的时间，《湖南省教师资格认定体检表》由申请人事先填写、打印并粘好一张个人证件照（与后续网上申报时上传的电子证件照同底版同要求），填写内容包括姓名、性别、婚否、民族、出生年月、身份证号、最高学历、工作单位、户籍所在地、现住所及通讯地址、申请资格种类、既往病史及受检者签名、家族病史等14项，请在首页页眉处注明本人手机号码。</w:t>
      </w:r>
    </w:p>
    <w:p w14:paraId="5FE794F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6"/>
        <w:rPr>
          <w:rFonts w:hint="default" w:ascii="Times New Roman" w:hAnsi="Times New Roman" w:cs="Times New Roman"/>
          <w:b/>
          <w:bCs/>
          <w:i w:val="0"/>
          <w:iCs w:val="0"/>
          <w:caps w:val="0"/>
          <w:color w:val="000000"/>
          <w:spacing w:val="0"/>
          <w:sz w:val="32"/>
          <w:szCs w:val="32"/>
        </w:rPr>
      </w:pPr>
      <w:r>
        <w:rPr>
          <w:rFonts w:hint="default" w:ascii="Times New Roman" w:hAnsi="Times New Roman" w:eastAsia="楷体" w:cs="Times New Roman"/>
          <w:b/>
          <w:bCs/>
          <w:i w:val="0"/>
          <w:iCs w:val="0"/>
          <w:caps w:val="0"/>
          <w:color w:val="000000"/>
          <w:spacing w:val="0"/>
          <w:sz w:val="32"/>
          <w:szCs w:val="32"/>
          <w:bdr w:val="none" w:color="auto" w:sz="0" w:space="0"/>
          <w:shd w:val="clear" w:fill="FFFFFF"/>
        </w:rPr>
        <w:t>4</w:t>
      </w:r>
      <w:r>
        <w:rPr>
          <w:rFonts w:hint="default" w:ascii="楷_GB2312" w:hAnsi="楷_GB2312" w:eastAsia="楷_GB2312" w:cs="楷_GB2312"/>
          <w:b/>
          <w:bCs/>
          <w:i w:val="0"/>
          <w:iCs w:val="0"/>
          <w:caps w:val="0"/>
          <w:color w:val="000000"/>
          <w:spacing w:val="0"/>
          <w:sz w:val="32"/>
          <w:szCs w:val="32"/>
          <w:bdr w:val="none" w:color="auto" w:sz="0" w:space="0"/>
          <w:shd w:val="clear" w:fill="FFFFFF"/>
        </w:rPr>
        <w:t>．体检结论</w:t>
      </w:r>
    </w:p>
    <w:p w14:paraId="0ADD916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申请人完成各项体检内容后，体检表交工作人员验收。体检发票由申请人保留，以便查询。体检相关结论由体检医院负责解释。异常结果由体检医院在一周内反馈，可复查一次；体检结论合格的，不另行通知。体检表由体检医院直接转送至本认定机构，不需申请人领取。</w:t>
      </w:r>
    </w:p>
    <w:p w14:paraId="025BE4E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6"/>
        <w:rPr>
          <w:rFonts w:hint="default" w:ascii="Times New Roman" w:hAnsi="Times New Roman" w:cs="Times New Roman"/>
          <w:b/>
          <w:bCs/>
          <w:i w:val="0"/>
          <w:iCs w:val="0"/>
          <w:caps w:val="0"/>
          <w:color w:val="000000"/>
          <w:spacing w:val="0"/>
          <w:sz w:val="32"/>
          <w:szCs w:val="32"/>
        </w:rPr>
      </w:pPr>
      <w:r>
        <w:rPr>
          <w:rFonts w:hint="default" w:ascii="Times New Roman" w:hAnsi="Times New Roman" w:eastAsia="楷体" w:cs="Times New Roman"/>
          <w:b/>
          <w:bCs/>
          <w:i w:val="0"/>
          <w:iCs w:val="0"/>
          <w:caps w:val="0"/>
          <w:color w:val="000000"/>
          <w:spacing w:val="0"/>
          <w:sz w:val="32"/>
          <w:szCs w:val="32"/>
          <w:bdr w:val="none" w:color="auto" w:sz="0" w:space="0"/>
          <w:shd w:val="clear" w:fill="FFFFFF"/>
        </w:rPr>
        <w:t>5</w:t>
      </w:r>
      <w:r>
        <w:rPr>
          <w:rFonts w:hint="default" w:ascii="楷_GB2312" w:hAnsi="楷_GB2312" w:eastAsia="楷_GB2312" w:cs="楷_GB2312"/>
          <w:b/>
          <w:bCs/>
          <w:i w:val="0"/>
          <w:iCs w:val="0"/>
          <w:caps w:val="0"/>
          <w:color w:val="000000"/>
          <w:spacing w:val="0"/>
          <w:sz w:val="32"/>
          <w:szCs w:val="32"/>
          <w:bdr w:val="none" w:color="auto" w:sz="0" w:space="0"/>
          <w:shd w:val="clear" w:fill="FFFFFF"/>
        </w:rPr>
        <w:t>．体检纪律</w:t>
      </w:r>
    </w:p>
    <w:p w14:paraId="12C2ED0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24"/>
        <w:jc w:val="both"/>
        <w:rPr>
          <w:rFonts w:hint="default" w:ascii="Times New Roman" w:hAnsi="Times New Roman" w:cs="Times New Roman"/>
          <w:i w:val="0"/>
          <w:iCs w:val="0"/>
          <w:caps w:val="0"/>
          <w:color w:val="000000"/>
          <w:spacing w:val="0"/>
          <w:sz w:val="32"/>
          <w:szCs w:val="32"/>
        </w:rPr>
      </w:pPr>
      <w:r>
        <w:rPr>
          <w:rFonts w:hint="eastAsia" w:ascii="宋体" w:hAnsi="宋体" w:eastAsia="宋体" w:cs="宋体"/>
          <w:i w:val="0"/>
          <w:iCs w:val="0"/>
          <w:caps w:val="0"/>
          <w:color w:val="000000"/>
          <w:spacing w:val="0"/>
          <w:sz w:val="32"/>
          <w:szCs w:val="32"/>
          <w:bdr w:val="none" w:color="auto" w:sz="0" w:space="0"/>
          <w:shd w:val="clear" w:fill="FFFFFF"/>
        </w:rPr>
        <w:t>如发现体检中有冒名顶替现象，一经查实，按弄虚作假、骗取教师资格处理。</w:t>
      </w:r>
    </w:p>
    <w:p w14:paraId="6ADFA93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200"/>
        <w:jc w:val="both"/>
        <w:rPr>
          <w:rFonts w:hint="default" w:ascii="Times New Roman" w:hAnsi="Times New Roman" w:cs="Times New Roman"/>
          <w:i w:val="0"/>
          <w:iCs w:val="0"/>
          <w:caps w:val="0"/>
          <w:color w:val="000000"/>
          <w:spacing w:val="0"/>
          <w:sz w:val="32"/>
          <w:szCs w:val="32"/>
        </w:rPr>
      </w:pPr>
      <w:r>
        <w:rPr>
          <w:rFonts w:hint="default" w:ascii="Times New Roman" w:hAnsi="Times New Roman" w:cs="Times New Roman"/>
          <w:i w:val="0"/>
          <w:iCs w:val="0"/>
          <w:caps w:val="0"/>
          <w:color w:val="000000"/>
          <w:spacing w:val="0"/>
          <w:sz w:val="32"/>
          <w:szCs w:val="32"/>
          <w:bdr w:val="none" w:color="auto" w:sz="0" w:space="0"/>
          <w:shd w:val="clear" w:fill="FFFFFF"/>
        </w:rPr>
        <w:t> </w:t>
      </w:r>
    </w:p>
    <w:p w14:paraId="5B7B0E48">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0000000000000000000"/>
    <w:charset w:val="00"/>
    <w:family w:val="auto"/>
    <w:pitch w:val="default"/>
    <w:sig w:usb0="00000000" w:usb1="00000000" w:usb2="00000000" w:usb3="00000000" w:csb0="00000000" w:csb1="00000000"/>
  </w:font>
  <w:font w:name="方正舒体">
    <w:panose1 w:val="02010601030101010101"/>
    <w:charset w:val="86"/>
    <w:family w:val="auto"/>
    <w:pitch w:val="default"/>
    <w:sig w:usb0="00000003" w:usb1="080E0000" w:usb2="00000000" w:usb3="00000000" w:csb0="00040000" w:csb1="00000000"/>
  </w:font>
  <w:font w:name="仿_GB2312">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_GB2312">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39EA37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2024-09-19T05:48:26Z</dcterms:created>
  <dc:creator>19219</dc:creator>
  <cp:lastModifiedBy>19219</cp:lastModifiedBy>
  <dcterms:modified xsi:type="dcterms:W3CDTF">2024-09-19T05:49:14Z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6666372E7D2142F3AF47C5F4A0ACA43F_12</vt:lpwstr>
  </property>
</Properties>
</file>