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7CC717">
      <w:pPr>
        <w:spacing w:line="500" w:lineRule="exact"/>
        <w:rPr>
          <w:rFonts w:ascii="黑体" w:hAnsi="黑体" w:eastAsia="黑体" w:cs="黑体"/>
          <w:kern w:val="0"/>
          <w:sz w:val="32"/>
          <w:szCs w:val="32"/>
        </w:rPr>
      </w:pPr>
      <w:bookmarkStart w:id="0" w:name="_GoBack"/>
      <w:bookmarkEnd w:id="0"/>
      <w:r>
        <w:rPr>
          <w:rFonts w:hint="eastAsia" w:ascii="黑体" w:hAnsi="黑体" w:eastAsia="黑体" w:cs="黑体"/>
          <w:kern w:val="0"/>
          <w:sz w:val="32"/>
          <w:szCs w:val="32"/>
          <w:shd w:val="clear" w:color="auto" w:fill="FFFFFF"/>
        </w:rPr>
        <w:t>附件1</w:t>
      </w:r>
    </w:p>
    <w:p w14:paraId="4CD34EF5">
      <w:pPr>
        <w:spacing w:line="500" w:lineRule="exact"/>
        <w:rPr>
          <w:rFonts w:ascii="仿宋" w:hAnsi="仿宋" w:eastAsia="仿宋" w:cs="黑体"/>
          <w:kern w:val="0"/>
          <w:sz w:val="32"/>
          <w:szCs w:val="32"/>
          <w:shd w:val="clear" w:color="auto" w:fill="FFFFFF"/>
        </w:rPr>
      </w:pPr>
    </w:p>
    <w:p w14:paraId="1049FB9C">
      <w:pPr>
        <w:widowControl/>
        <w:spacing w:line="500" w:lineRule="exact"/>
        <w:jc w:val="center"/>
        <w:rPr>
          <w:rFonts w:ascii="方正小标宋简体" w:hAnsi="方正小标宋简体" w:eastAsia="方正小标宋简体" w:cs="方正小标宋简体"/>
          <w:kern w:val="0"/>
          <w:sz w:val="36"/>
          <w:szCs w:val="36"/>
          <w:shd w:val="clear" w:color="auto" w:fill="FFFFFF"/>
        </w:rPr>
      </w:pPr>
      <w:r>
        <w:rPr>
          <w:rFonts w:hint="eastAsia" w:ascii="方正小标宋简体" w:hAnsi="方正小标宋简体" w:eastAsia="方正小标宋简体" w:cs="方正小标宋简体"/>
          <w:kern w:val="0"/>
          <w:sz w:val="36"/>
          <w:szCs w:val="36"/>
          <w:shd w:val="clear" w:color="auto" w:fill="FFFFFF"/>
        </w:rPr>
        <w:t>湘西自治州各教师资格认定机构、认定地址及联系电话</w:t>
      </w:r>
    </w:p>
    <w:tbl>
      <w:tblPr>
        <w:tblStyle w:val="7"/>
        <w:tblpPr w:leftFromText="180" w:rightFromText="180" w:vertAnchor="text" w:horzAnchor="margin" w:tblpXSpec="center" w:tblpY="326"/>
        <w:tblW w:w="9899" w:type="dxa"/>
        <w:tblInd w:w="82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63"/>
        <w:gridCol w:w="4812"/>
        <w:gridCol w:w="2124"/>
      </w:tblGrid>
      <w:tr w14:paraId="12BB0B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trPr>
        <w:tc>
          <w:tcPr>
            <w:tcW w:w="2963" w:type="dxa"/>
            <w:tcBorders>
              <w:top w:val="single" w:color="auto" w:sz="4" w:space="0"/>
              <w:left w:val="single" w:color="auto" w:sz="4" w:space="0"/>
              <w:bottom w:val="single" w:color="auto" w:sz="4" w:space="0"/>
              <w:right w:val="single" w:color="auto" w:sz="4" w:space="0"/>
            </w:tcBorders>
            <w:vAlign w:val="center"/>
          </w:tcPr>
          <w:p w14:paraId="6F00790E">
            <w:pPr>
              <w:widowControl/>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认定机构名称</w:t>
            </w:r>
          </w:p>
        </w:tc>
        <w:tc>
          <w:tcPr>
            <w:tcW w:w="4812" w:type="dxa"/>
            <w:tcBorders>
              <w:top w:val="single" w:color="auto" w:sz="4" w:space="0"/>
              <w:left w:val="single" w:color="auto" w:sz="4" w:space="0"/>
              <w:bottom w:val="single" w:color="auto" w:sz="4" w:space="0"/>
              <w:right w:val="single" w:color="auto" w:sz="4" w:space="0"/>
            </w:tcBorders>
            <w:vAlign w:val="center"/>
          </w:tcPr>
          <w:p w14:paraId="2F108233">
            <w:pPr>
              <w:widowControl/>
              <w:jc w:val="center"/>
              <w:rPr>
                <w:rFonts w:ascii="仿宋_GB2312" w:hAnsi="仿宋_GB2312" w:eastAsia="仿宋_GB2312" w:cs="仿宋_GB2312"/>
                <w:kern w:val="0"/>
                <w:sz w:val="24"/>
                <w:szCs w:val="24"/>
                <w:shd w:val="clear" w:color="auto" w:fill="FFFFFF"/>
              </w:rPr>
            </w:pPr>
            <w:r>
              <w:rPr>
                <w:rFonts w:hint="eastAsia" w:ascii="仿宋_GB2312" w:hAnsi="仿宋_GB2312" w:eastAsia="仿宋_GB2312" w:cs="仿宋_GB2312"/>
                <w:kern w:val="0"/>
                <w:sz w:val="24"/>
                <w:szCs w:val="24"/>
                <w:shd w:val="clear" w:color="auto" w:fill="FFFFFF"/>
              </w:rPr>
              <w:t>认定地址</w:t>
            </w:r>
          </w:p>
        </w:tc>
        <w:tc>
          <w:tcPr>
            <w:tcW w:w="2124" w:type="dxa"/>
            <w:tcBorders>
              <w:top w:val="single" w:color="auto" w:sz="4" w:space="0"/>
              <w:left w:val="single" w:color="auto" w:sz="4" w:space="0"/>
              <w:bottom w:val="single" w:color="auto" w:sz="4" w:space="0"/>
              <w:right w:val="single" w:color="auto" w:sz="4" w:space="0"/>
            </w:tcBorders>
            <w:vAlign w:val="center"/>
          </w:tcPr>
          <w:p w14:paraId="713977EE">
            <w:pPr>
              <w:widowControl/>
              <w:jc w:val="center"/>
              <w:rPr>
                <w:rFonts w:ascii="仿宋_GB2312" w:hAnsi="仿宋_GB2312" w:eastAsia="仿宋_GB2312" w:cs="仿宋_GB2312"/>
                <w:kern w:val="0"/>
                <w:sz w:val="24"/>
                <w:szCs w:val="24"/>
                <w:shd w:val="clear" w:color="auto" w:fill="FFFFFF"/>
              </w:rPr>
            </w:pPr>
            <w:r>
              <w:rPr>
                <w:rFonts w:hint="eastAsia" w:ascii="仿宋_GB2312" w:hAnsi="仿宋_GB2312" w:eastAsia="仿宋_GB2312" w:cs="仿宋_GB2312"/>
                <w:kern w:val="0"/>
                <w:sz w:val="24"/>
                <w:szCs w:val="24"/>
                <w:shd w:val="clear" w:color="auto" w:fill="FFFFFF"/>
              </w:rPr>
              <w:t>联系电话</w:t>
            </w:r>
          </w:p>
        </w:tc>
      </w:tr>
      <w:tr w14:paraId="2DDEE2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2963" w:type="dxa"/>
            <w:tcBorders>
              <w:top w:val="single" w:color="auto" w:sz="4" w:space="0"/>
              <w:left w:val="single" w:color="auto" w:sz="4" w:space="0"/>
              <w:bottom w:val="single" w:color="auto" w:sz="4" w:space="0"/>
              <w:right w:val="single" w:color="auto" w:sz="4" w:space="0"/>
            </w:tcBorders>
            <w:vAlign w:val="center"/>
          </w:tcPr>
          <w:p w14:paraId="18B8B8E7">
            <w:pPr>
              <w:widowControl/>
              <w:spacing w:line="340" w:lineRule="exact"/>
              <w:jc w:val="center"/>
              <w:rPr>
                <w:rFonts w:ascii="仿宋_GB2312" w:hAnsi="仿宋_GB2312" w:eastAsia="仿宋_GB2312" w:cs="仿宋_GB2312"/>
                <w:kern w:val="0"/>
                <w:sz w:val="24"/>
                <w:szCs w:val="24"/>
                <w:shd w:val="clear" w:color="auto" w:fill="FFFFFF"/>
              </w:rPr>
            </w:pPr>
            <w:r>
              <w:rPr>
                <w:rFonts w:hint="eastAsia" w:ascii="仿宋_GB2312" w:hAnsi="仿宋_GB2312" w:eastAsia="仿宋_GB2312" w:cs="仿宋_GB2312"/>
                <w:w w:val="95"/>
                <w:kern w:val="0"/>
                <w:sz w:val="24"/>
                <w:szCs w:val="24"/>
              </w:rPr>
              <w:t>州教体局教师资格认定机构</w:t>
            </w:r>
          </w:p>
        </w:tc>
        <w:tc>
          <w:tcPr>
            <w:tcW w:w="4812" w:type="dxa"/>
            <w:tcBorders>
              <w:top w:val="single" w:color="auto" w:sz="4" w:space="0"/>
              <w:left w:val="single" w:color="auto" w:sz="4" w:space="0"/>
              <w:bottom w:val="single" w:color="auto" w:sz="4" w:space="0"/>
              <w:right w:val="single" w:color="auto" w:sz="4" w:space="0"/>
            </w:tcBorders>
            <w:vAlign w:val="center"/>
          </w:tcPr>
          <w:p w14:paraId="3B3671F4">
            <w:pPr>
              <w:widowControl/>
              <w:spacing w:line="340" w:lineRule="exact"/>
              <w:jc w:val="center"/>
              <w:rPr>
                <w:rFonts w:ascii="仿宋_GB2312" w:hAnsi="仿宋_GB2312" w:eastAsia="仿宋_GB2312" w:cs="仿宋_GB2312"/>
                <w:kern w:val="0"/>
                <w:sz w:val="24"/>
                <w:szCs w:val="24"/>
                <w:shd w:val="clear" w:color="auto" w:fill="FFFFFF"/>
              </w:rPr>
            </w:pPr>
            <w:r>
              <w:rPr>
                <w:rFonts w:hint="eastAsia" w:ascii="仿宋_GB2312" w:hAnsi="仿宋_GB2312" w:eastAsia="仿宋_GB2312" w:cs="仿宋_GB2312"/>
                <w:kern w:val="0"/>
                <w:sz w:val="24"/>
                <w:szCs w:val="24"/>
                <w:shd w:val="clear" w:color="auto" w:fill="FFFFFF"/>
              </w:rPr>
              <w:t>湘西州政务中心二楼教体局窗口</w:t>
            </w:r>
          </w:p>
        </w:tc>
        <w:tc>
          <w:tcPr>
            <w:tcW w:w="2124" w:type="dxa"/>
            <w:tcBorders>
              <w:top w:val="single" w:color="auto" w:sz="4" w:space="0"/>
              <w:left w:val="single" w:color="auto" w:sz="4" w:space="0"/>
              <w:bottom w:val="single" w:color="auto" w:sz="4" w:space="0"/>
              <w:right w:val="single" w:color="auto" w:sz="4" w:space="0"/>
            </w:tcBorders>
            <w:vAlign w:val="center"/>
          </w:tcPr>
          <w:p w14:paraId="6A41EF46">
            <w:pPr>
              <w:widowControl/>
              <w:spacing w:line="340" w:lineRule="exact"/>
              <w:jc w:val="center"/>
              <w:rPr>
                <w:rFonts w:ascii="仿宋_GB2312" w:hAnsi="仿宋_GB2312" w:eastAsia="仿宋_GB2312" w:cs="仿宋_GB2312"/>
                <w:kern w:val="0"/>
                <w:sz w:val="24"/>
                <w:szCs w:val="24"/>
                <w:shd w:val="clear" w:color="auto" w:fill="FFFFFF"/>
              </w:rPr>
            </w:pPr>
            <w:r>
              <w:rPr>
                <w:rFonts w:hint="eastAsia" w:ascii="仿宋_GB2312" w:hAnsi="仿宋_GB2312" w:eastAsia="仿宋_GB2312" w:cs="仿宋_GB2312"/>
                <w:kern w:val="0"/>
                <w:sz w:val="24"/>
                <w:szCs w:val="24"/>
                <w:shd w:val="clear" w:color="auto" w:fill="FFFFFF"/>
              </w:rPr>
              <w:t>0743-8224122</w:t>
            </w:r>
          </w:p>
          <w:p w14:paraId="1689D063">
            <w:pPr>
              <w:widowControl/>
              <w:spacing w:line="340" w:lineRule="exact"/>
              <w:jc w:val="center"/>
              <w:rPr>
                <w:rFonts w:ascii="仿宋_GB2312" w:hAnsi="仿宋_GB2312" w:eastAsia="仿宋_GB2312" w:cs="仿宋_GB2312"/>
                <w:kern w:val="0"/>
                <w:sz w:val="24"/>
                <w:szCs w:val="24"/>
                <w:shd w:val="clear" w:color="auto" w:fill="FFFFFF"/>
              </w:rPr>
            </w:pPr>
            <w:r>
              <w:rPr>
                <w:rFonts w:hint="eastAsia" w:ascii="仿宋_GB2312" w:hAnsi="仿宋_GB2312" w:eastAsia="仿宋_GB2312" w:cs="仿宋_GB2312"/>
                <w:kern w:val="0"/>
                <w:sz w:val="24"/>
                <w:szCs w:val="24"/>
                <w:shd w:val="clear" w:color="auto" w:fill="FFFFFF"/>
              </w:rPr>
              <w:t>0743-</w:t>
            </w:r>
            <w:r>
              <w:rPr>
                <w:rFonts w:hint="eastAsia" w:ascii="仿宋_GB2312" w:hAnsi="仿宋_GB2312" w:eastAsia="仿宋_GB2312" w:cs="仿宋_GB2312"/>
                <w:kern w:val="0"/>
                <w:sz w:val="24"/>
                <w:szCs w:val="24"/>
              </w:rPr>
              <w:t>8225652</w:t>
            </w:r>
          </w:p>
        </w:tc>
      </w:tr>
      <w:tr w14:paraId="6295BE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1" w:hRule="atLeast"/>
        </w:trPr>
        <w:tc>
          <w:tcPr>
            <w:tcW w:w="2963" w:type="dxa"/>
            <w:tcBorders>
              <w:top w:val="single" w:color="auto" w:sz="4" w:space="0"/>
              <w:left w:val="single" w:color="auto" w:sz="4" w:space="0"/>
              <w:bottom w:val="single" w:color="auto" w:sz="4" w:space="0"/>
              <w:right w:val="single" w:color="auto" w:sz="4" w:space="0"/>
            </w:tcBorders>
            <w:vAlign w:val="center"/>
          </w:tcPr>
          <w:p w14:paraId="1E43BB0B">
            <w:pPr>
              <w:widowControl/>
              <w:spacing w:line="340" w:lineRule="exact"/>
              <w:jc w:val="center"/>
              <w:rPr>
                <w:rFonts w:ascii="仿宋_GB2312" w:hAnsi="仿宋_GB2312" w:eastAsia="仿宋_GB2312" w:cs="仿宋_GB2312"/>
                <w:kern w:val="0"/>
                <w:sz w:val="24"/>
                <w:szCs w:val="24"/>
                <w:shd w:val="clear" w:color="auto" w:fill="FFFFFF"/>
              </w:rPr>
            </w:pPr>
            <w:r>
              <w:rPr>
                <w:rFonts w:hint="eastAsia" w:ascii="仿宋_GB2312" w:hAnsi="仿宋_GB2312" w:eastAsia="仿宋_GB2312" w:cs="仿宋_GB2312"/>
                <w:kern w:val="0"/>
                <w:sz w:val="24"/>
                <w:szCs w:val="24"/>
                <w:shd w:val="clear" w:color="auto" w:fill="FFFFFF"/>
              </w:rPr>
              <w:t>吉首市教师资格认定机构</w:t>
            </w:r>
          </w:p>
        </w:tc>
        <w:tc>
          <w:tcPr>
            <w:tcW w:w="4812" w:type="dxa"/>
            <w:tcBorders>
              <w:top w:val="single" w:color="auto" w:sz="4" w:space="0"/>
              <w:left w:val="single" w:color="auto" w:sz="4" w:space="0"/>
              <w:bottom w:val="single" w:color="auto" w:sz="4" w:space="0"/>
              <w:right w:val="single" w:color="auto" w:sz="4" w:space="0"/>
            </w:tcBorders>
            <w:vAlign w:val="center"/>
          </w:tcPr>
          <w:p w14:paraId="611087D0">
            <w:pPr>
              <w:widowControl/>
              <w:spacing w:line="340" w:lineRule="exact"/>
              <w:jc w:val="center"/>
              <w:rPr>
                <w:rFonts w:ascii="仿宋_GB2312" w:hAnsi="仿宋_GB2312" w:eastAsia="仿宋_GB2312" w:cs="仿宋_GB2312"/>
                <w:kern w:val="0"/>
                <w:sz w:val="24"/>
                <w:szCs w:val="24"/>
                <w:shd w:val="clear" w:color="auto" w:fill="FFFFFF"/>
              </w:rPr>
            </w:pPr>
            <w:r>
              <w:rPr>
                <w:rFonts w:hint="eastAsia" w:ascii="仿宋_GB2312" w:hAnsi="仿宋_GB2312" w:eastAsia="仿宋_GB2312" w:cs="仿宋_GB2312"/>
                <w:kern w:val="0"/>
                <w:sz w:val="24"/>
                <w:szCs w:val="24"/>
              </w:rPr>
              <w:t>吉首市教育和体育局二楼205室</w:t>
            </w:r>
          </w:p>
        </w:tc>
        <w:tc>
          <w:tcPr>
            <w:tcW w:w="2124" w:type="dxa"/>
            <w:tcBorders>
              <w:top w:val="single" w:color="auto" w:sz="4" w:space="0"/>
              <w:left w:val="single" w:color="auto" w:sz="4" w:space="0"/>
              <w:bottom w:val="single" w:color="auto" w:sz="4" w:space="0"/>
              <w:right w:val="single" w:color="auto" w:sz="4" w:space="0"/>
            </w:tcBorders>
            <w:vAlign w:val="center"/>
          </w:tcPr>
          <w:p w14:paraId="754CAC41">
            <w:pPr>
              <w:widowControl/>
              <w:spacing w:line="340" w:lineRule="exact"/>
              <w:jc w:val="center"/>
              <w:rPr>
                <w:rFonts w:hint="eastAsia" w:ascii="仿宋_GB2312" w:hAnsi="仿宋_GB2312" w:eastAsia="仿宋_GB2312" w:cs="仿宋_GB2312"/>
                <w:kern w:val="0"/>
                <w:sz w:val="24"/>
                <w:szCs w:val="24"/>
                <w:shd w:val="clear" w:color="auto" w:fill="FFFFFF"/>
              </w:rPr>
            </w:pPr>
            <w:r>
              <w:rPr>
                <w:rFonts w:hint="eastAsia" w:ascii="仿宋_GB2312" w:hAnsi="仿宋_GB2312" w:eastAsia="仿宋_GB2312" w:cs="仿宋_GB2312"/>
                <w:kern w:val="0"/>
                <w:sz w:val="24"/>
                <w:szCs w:val="24"/>
                <w:shd w:val="clear" w:color="auto" w:fill="FFFFFF"/>
              </w:rPr>
              <w:t>0743-8513626</w:t>
            </w:r>
          </w:p>
          <w:p w14:paraId="76AB6247">
            <w:pPr>
              <w:widowControl/>
              <w:spacing w:line="340" w:lineRule="exact"/>
              <w:jc w:val="center"/>
              <w:rPr>
                <w:rFonts w:ascii="仿宋_GB2312" w:hAnsi="仿宋_GB2312" w:eastAsia="仿宋_GB2312" w:cs="仿宋_GB2312"/>
                <w:kern w:val="0"/>
                <w:sz w:val="24"/>
                <w:szCs w:val="24"/>
                <w:shd w:val="clear" w:color="auto" w:fill="FFFFFF"/>
              </w:rPr>
            </w:pPr>
            <w:r>
              <w:rPr>
                <w:rFonts w:hint="eastAsia" w:ascii="仿宋_GB2312" w:hAnsi="仿宋_GB2312" w:eastAsia="仿宋_GB2312" w:cs="仿宋_GB2312"/>
                <w:kern w:val="0"/>
                <w:sz w:val="24"/>
                <w:szCs w:val="24"/>
                <w:shd w:val="clear" w:color="auto" w:fill="FFFFFF"/>
              </w:rPr>
              <w:t>0743-2251198</w:t>
            </w:r>
          </w:p>
        </w:tc>
      </w:tr>
      <w:tr w14:paraId="66511E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1" w:hRule="atLeast"/>
        </w:trPr>
        <w:tc>
          <w:tcPr>
            <w:tcW w:w="2963" w:type="dxa"/>
            <w:tcBorders>
              <w:top w:val="single" w:color="auto" w:sz="4" w:space="0"/>
              <w:left w:val="single" w:color="auto" w:sz="4" w:space="0"/>
              <w:bottom w:val="single" w:color="auto" w:sz="4" w:space="0"/>
              <w:right w:val="single" w:color="auto" w:sz="4" w:space="0"/>
            </w:tcBorders>
            <w:vAlign w:val="center"/>
          </w:tcPr>
          <w:p w14:paraId="5A8557EC">
            <w:pPr>
              <w:widowControl/>
              <w:spacing w:line="340" w:lineRule="exact"/>
              <w:jc w:val="center"/>
              <w:rPr>
                <w:rFonts w:ascii="仿宋_GB2312" w:hAnsi="仿宋_GB2312" w:eastAsia="仿宋_GB2312" w:cs="仿宋_GB2312"/>
                <w:kern w:val="0"/>
                <w:sz w:val="24"/>
                <w:szCs w:val="24"/>
                <w:shd w:val="clear" w:color="auto" w:fill="FFFFFF"/>
              </w:rPr>
            </w:pPr>
            <w:r>
              <w:rPr>
                <w:rFonts w:hint="eastAsia" w:ascii="仿宋_GB2312" w:hAnsi="仿宋_GB2312" w:eastAsia="仿宋_GB2312" w:cs="仿宋_GB2312"/>
                <w:kern w:val="0"/>
                <w:sz w:val="24"/>
                <w:szCs w:val="24"/>
                <w:shd w:val="clear" w:color="auto" w:fill="FFFFFF"/>
              </w:rPr>
              <w:t>泸溪县教师资格认定机构</w:t>
            </w:r>
          </w:p>
        </w:tc>
        <w:tc>
          <w:tcPr>
            <w:tcW w:w="4812" w:type="dxa"/>
            <w:tcBorders>
              <w:top w:val="single" w:color="auto" w:sz="4" w:space="0"/>
              <w:left w:val="single" w:color="auto" w:sz="4" w:space="0"/>
              <w:bottom w:val="single" w:color="auto" w:sz="4" w:space="0"/>
              <w:right w:val="single" w:color="auto" w:sz="4" w:space="0"/>
            </w:tcBorders>
            <w:vAlign w:val="center"/>
          </w:tcPr>
          <w:p w14:paraId="16B80E98">
            <w:pPr>
              <w:widowControl/>
              <w:spacing w:line="340" w:lineRule="exact"/>
              <w:jc w:val="center"/>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泸溪县武溪镇屈望社区沅水湾政务服务中心</w:t>
            </w:r>
          </w:p>
          <w:p w14:paraId="1D759E69">
            <w:pPr>
              <w:widowControl/>
              <w:spacing w:line="340" w:lineRule="exact"/>
              <w:jc w:val="center"/>
              <w:rPr>
                <w:rFonts w:ascii="仿宋_GB2312" w:hAnsi="仿宋_GB2312" w:eastAsia="仿宋_GB2312" w:cs="仿宋_GB2312"/>
                <w:kern w:val="0"/>
                <w:sz w:val="24"/>
                <w:szCs w:val="24"/>
                <w:shd w:val="clear" w:color="auto" w:fill="FFFFFF"/>
              </w:rPr>
            </w:pPr>
            <w:r>
              <w:rPr>
                <w:rFonts w:hint="eastAsia" w:ascii="仿宋_GB2312" w:hAnsi="仿宋_GB2312" w:eastAsia="仿宋_GB2312" w:cs="仿宋_GB2312"/>
                <w:kern w:val="0"/>
                <w:sz w:val="24"/>
                <w:szCs w:val="24"/>
              </w:rPr>
              <w:t>教育和体育局窗口C1</w:t>
            </w:r>
          </w:p>
        </w:tc>
        <w:tc>
          <w:tcPr>
            <w:tcW w:w="2124" w:type="dxa"/>
            <w:tcBorders>
              <w:top w:val="single" w:color="auto" w:sz="4" w:space="0"/>
              <w:left w:val="single" w:color="auto" w:sz="4" w:space="0"/>
              <w:bottom w:val="single" w:color="auto" w:sz="4" w:space="0"/>
              <w:right w:val="single" w:color="auto" w:sz="4" w:space="0"/>
            </w:tcBorders>
            <w:vAlign w:val="center"/>
          </w:tcPr>
          <w:p w14:paraId="085BC3CC">
            <w:pPr>
              <w:widowControl/>
              <w:spacing w:line="340" w:lineRule="exact"/>
              <w:jc w:val="center"/>
              <w:rPr>
                <w:rFonts w:ascii="仿宋_GB2312" w:hAnsi="仿宋_GB2312" w:eastAsia="仿宋_GB2312" w:cs="仿宋_GB2312"/>
                <w:kern w:val="0"/>
                <w:sz w:val="24"/>
                <w:szCs w:val="24"/>
                <w:shd w:val="clear" w:color="auto" w:fill="FFFFFF"/>
              </w:rPr>
            </w:pPr>
            <w:r>
              <w:rPr>
                <w:rFonts w:hint="eastAsia" w:ascii="仿宋_GB2312" w:hAnsi="仿宋_GB2312" w:eastAsia="仿宋_GB2312" w:cs="仿宋_GB2312"/>
                <w:kern w:val="0"/>
                <w:sz w:val="24"/>
                <w:szCs w:val="24"/>
                <w:shd w:val="clear" w:color="auto" w:fill="FFFFFF"/>
              </w:rPr>
              <w:t>0743-4265960</w:t>
            </w:r>
          </w:p>
          <w:p w14:paraId="2A0AB3FB">
            <w:pPr>
              <w:widowControl/>
              <w:spacing w:line="340" w:lineRule="exact"/>
              <w:jc w:val="center"/>
              <w:rPr>
                <w:rFonts w:ascii="仿宋_GB2312" w:hAnsi="仿宋_GB2312" w:eastAsia="仿宋_GB2312" w:cs="仿宋_GB2312"/>
                <w:kern w:val="0"/>
                <w:sz w:val="24"/>
                <w:szCs w:val="24"/>
                <w:shd w:val="clear" w:color="auto" w:fill="FFFFFF"/>
              </w:rPr>
            </w:pPr>
            <w:r>
              <w:rPr>
                <w:rFonts w:hint="eastAsia" w:ascii="仿宋_GB2312" w:hAnsi="仿宋_GB2312" w:eastAsia="仿宋_GB2312" w:cs="仿宋_GB2312"/>
                <w:kern w:val="0"/>
                <w:sz w:val="24"/>
                <w:szCs w:val="24"/>
                <w:shd w:val="clear" w:color="auto" w:fill="FFFFFF"/>
              </w:rPr>
              <w:t>0743-4268753</w:t>
            </w:r>
          </w:p>
        </w:tc>
      </w:tr>
      <w:tr w14:paraId="1C8731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trPr>
        <w:tc>
          <w:tcPr>
            <w:tcW w:w="2963" w:type="dxa"/>
            <w:tcBorders>
              <w:top w:val="single" w:color="auto" w:sz="4" w:space="0"/>
              <w:left w:val="single" w:color="auto" w:sz="4" w:space="0"/>
              <w:bottom w:val="single" w:color="auto" w:sz="4" w:space="0"/>
              <w:right w:val="single" w:color="auto" w:sz="4" w:space="0"/>
            </w:tcBorders>
            <w:vAlign w:val="center"/>
          </w:tcPr>
          <w:p w14:paraId="00799583">
            <w:pPr>
              <w:widowControl/>
              <w:spacing w:line="340" w:lineRule="exact"/>
              <w:jc w:val="center"/>
              <w:rPr>
                <w:rFonts w:ascii="仿宋_GB2312" w:hAnsi="仿宋_GB2312" w:eastAsia="仿宋_GB2312" w:cs="仿宋_GB2312"/>
                <w:kern w:val="0"/>
                <w:sz w:val="24"/>
                <w:szCs w:val="24"/>
                <w:shd w:val="clear" w:color="auto" w:fill="FFFFFF"/>
              </w:rPr>
            </w:pPr>
            <w:r>
              <w:rPr>
                <w:rFonts w:hint="eastAsia" w:ascii="仿宋_GB2312" w:hAnsi="仿宋_GB2312" w:eastAsia="仿宋_GB2312" w:cs="仿宋_GB2312"/>
                <w:kern w:val="0"/>
                <w:sz w:val="24"/>
                <w:szCs w:val="24"/>
                <w:shd w:val="clear" w:color="auto" w:fill="FFFFFF"/>
              </w:rPr>
              <w:t>凤凰县教师资格认定机构</w:t>
            </w:r>
          </w:p>
        </w:tc>
        <w:tc>
          <w:tcPr>
            <w:tcW w:w="4812" w:type="dxa"/>
            <w:tcBorders>
              <w:top w:val="single" w:color="auto" w:sz="4" w:space="0"/>
              <w:left w:val="single" w:color="auto" w:sz="4" w:space="0"/>
              <w:bottom w:val="single" w:color="auto" w:sz="4" w:space="0"/>
              <w:right w:val="single" w:color="auto" w:sz="4" w:space="0"/>
            </w:tcBorders>
            <w:vAlign w:val="center"/>
          </w:tcPr>
          <w:p w14:paraId="6B19A846">
            <w:pPr>
              <w:widowControl/>
              <w:spacing w:line="340" w:lineRule="exact"/>
              <w:jc w:val="center"/>
              <w:rPr>
                <w:rFonts w:ascii="仿宋_GB2312" w:hAnsi="仿宋_GB2312" w:eastAsia="仿宋_GB2312" w:cs="仿宋_GB2312"/>
                <w:kern w:val="0"/>
                <w:sz w:val="24"/>
                <w:szCs w:val="24"/>
                <w:shd w:val="clear" w:color="auto" w:fill="FFFFFF"/>
              </w:rPr>
            </w:pPr>
            <w:r>
              <w:rPr>
                <w:rFonts w:hint="eastAsia" w:ascii="仿宋_GB2312" w:hAnsi="仿宋_GB2312" w:eastAsia="仿宋_GB2312" w:cs="仿宋_GB2312"/>
                <w:kern w:val="0"/>
                <w:sz w:val="24"/>
                <w:szCs w:val="24"/>
              </w:rPr>
              <w:t>凤凰县教育和体育局大转盘新田垅74号</w:t>
            </w:r>
          </w:p>
        </w:tc>
        <w:tc>
          <w:tcPr>
            <w:tcW w:w="2124" w:type="dxa"/>
            <w:tcBorders>
              <w:top w:val="single" w:color="auto" w:sz="4" w:space="0"/>
              <w:left w:val="single" w:color="auto" w:sz="4" w:space="0"/>
              <w:bottom w:val="single" w:color="auto" w:sz="4" w:space="0"/>
              <w:right w:val="single" w:color="auto" w:sz="4" w:space="0"/>
            </w:tcBorders>
            <w:vAlign w:val="center"/>
          </w:tcPr>
          <w:p w14:paraId="723F19A8">
            <w:pPr>
              <w:widowControl/>
              <w:spacing w:line="340" w:lineRule="exact"/>
              <w:jc w:val="center"/>
              <w:rPr>
                <w:rFonts w:ascii="仿宋_GB2312" w:hAnsi="仿宋_GB2312" w:eastAsia="仿宋_GB2312" w:cs="仿宋_GB2312"/>
                <w:kern w:val="0"/>
                <w:sz w:val="24"/>
                <w:szCs w:val="24"/>
                <w:shd w:val="clear" w:color="auto" w:fill="FFFFFF"/>
              </w:rPr>
            </w:pPr>
            <w:r>
              <w:rPr>
                <w:rFonts w:hint="eastAsia" w:ascii="仿宋_GB2312" w:hAnsi="仿宋_GB2312" w:eastAsia="仿宋_GB2312" w:cs="仿宋_GB2312"/>
                <w:kern w:val="0"/>
                <w:sz w:val="24"/>
                <w:szCs w:val="24"/>
                <w:shd w:val="clear" w:color="auto" w:fill="FFFFFF"/>
              </w:rPr>
              <w:t>0743-3506094</w:t>
            </w:r>
          </w:p>
        </w:tc>
      </w:tr>
      <w:tr w14:paraId="6AD99A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1" w:hRule="atLeast"/>
        </w:trPr>
        <w:tc>
          <w:tcPr>
            <w:tcW w:w="2963" w:type="dxa"/>
            <w:tcBorders>
              <w:top w:val="single" w:color="auto" w:sz="4" w:space="0"/>
              <w:left w:val="single" w:color="auto" w:sz="4" w:space="0"/>
              <w:bottom w:val="single" w:color="auto" w:sz="4" w:space="0"/>
              <w:right w:val="single" w:color="auto" w:sz="4" w:space="0"/>
            </w:tcBorders>
            <w:vAlign w:val="center"/>
          </w:tcPr>
          <w:p w14:paraId="408C9545">
            <w:pPr>
              <w:widowControl/>
              <w:spacing w:line="340" w:lineRule="exact"/>
              <w:jc w:val="center"/>
              <w:rPr>
                <w:rFonts w:ascii="仿宋_GB2312" w:hAnsi="仿宋_GB2312" w:eastAsia="仿宋_GB2312" w:cs="仿宋_GB2312"/>
                <w:kern w:val="0"/>
                <w:sz w:val="24"/>
                <w:szCs w:val="24"/>
                <w:shd w:val="clear" w:color="auto" w:fill="FFFFFF"/>
              </w:rPr>
            </w:pPr>
            <w:r>
              <w:rPr>
                <w:rFonts w:hint="eastAsia" w:ascii="仿宋_GB2312" w:hAnsi="仿宋_GB2312" w:eastAsia="仿宋_GB2312" w:cs="仿宋_GB2312"/>
                <w:kern w:val="0"/>
                <w:sz w:val="24"/>
                <w:szCs w:val="24"/>
                <w:shd w:val="clear" w:color="auto" w:fill="FFFFFF"/>
              </w:rPr>
              <w:t>古丈县教师资格认定机构</w:t>
            </w:r>
          </w:p>
        </w:tc>
        <w:tc>
          <w:tcPr>
            <w:tcW w:w="4812" w:type="dxa"/>
            <w:tcBorders>
              <w:top w:val="single" w:color="auto" w:sz="4" w:space="0"/>
              <w:left w:val="single" w:color="auto" w:sz="4" w:space="0"/>
              <w:bottom w:val="single" w:color="auto" w:sz="4" w:space="0"/>
              <w:right w:val="single" w:color="auto" w:sz="4" w:space="0"/>
            </w:tcBorders>
            <w:vAlign w:val="center"/>
          </w:tcPr>
          <w:p w14:paraId="30DCBEA3">
            <w:pPr>
              <w:widowControl/>
              <w:spacing w:line="340" w:lineRule="exact"/>
              <w:jc w:val="center"/>
              <w:rPr>
                <w:rFonts w:ascii="仿宋_GB2312" w:hAnsi="仿宋_GB2312" w:eastAsia="仿宋_GB2312" w:cs="仿宋_GB2312"/>
                <w:kern w:val="0"/>
                <w:sz w:val="24"/>
                <w:szCs w:val="24"/>
                <w:shd w:val="clear" w:color="auto" w:fill="FFFFFF"/>
              </w:rPr>
            </w:pPr>
            <w:r>
              <w:rPr>
                <w:rFonts w:hint="eastAsia" w:ascii="仿宋_GB2312" w:hAnsi="仿宋_GB2312" w:eastAsia="仿宋_GB2312" w:cs="仿宋_GB2312"/>
                <w:kern w:val="0"/>
                <w:sz w:val="24"/>
                <w:szCs w:val="24"/>
              </w:rPr>
              <w:t>古丈县教育和体育局教师股</w:t>
            </w:r>
          </w:p>
        </w:tc>
        <w:tc>
          <w:tcPr>
            <w:tcW w:w="2124" w:type="dxa"/>
            <w:tcBorders>
              <w:top w:val="single" w:color="auto" w:sz="4" w:space="0"/>
              <w:left w:val="single" w:color="auto" w:sz="4" w:space="0"/>
              <w:bottom w:val="single" w:color="auto" w:sz="4" w:space="0"/>
              <w:right w:val="single" w:color="auto" w:sz="4" w:space="0"/>
            </w:tcBorders>
            <w:vAlign w:val="center"/>
          </w:tcPr>
          <w:p w14:paraId="095E019E">
            <w:pPr>
              <w:widowControl/>
              <w:spacing w:line="340" w:lineRule="exact"/>
              <w:jc w:val="center"/>
              <w:rPr>
                <w:rFonts w:ascii="仿宋_GB2312" w:hAnsi="仿宋_GB2312" w:eastAsia="仿宋_GB2312" w:cs="仿宋_GB2312"/>
                <w:kern w:val="0"/>
                <w:sz w:val="24"/>
                <w:szCs w:val="24"/>
                <w:shd w:val="clear" w:color="auto" w:fill="FFFFFF"/>
              </w:rPr>
            </w:pPr>
            <w:r>
              <w:rPr>
                <w:rFonts w:hint="eastAsia" w:ascii="仿宋_GB2312" w:hAnsi="仿宋_GB2312" w:eastAsia="仿宋_GB2312" w:cs="仿宋_GB2312"/>
                <w:kern w:val="0"/>
                <w:sz w:val="24"/>
                <w:szCs w:val="24"/>
                <w:shd w:val="clear" w:color="auto" w:fill="FFFFFF"/>
              </w:rPr>
              <w:t>0743-4723475</w:t>
            </w:r>
          </w:p>
        </w:tc>
      </w:tr>
      <w:tr w14:paraId="5837C0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1" w:hRule="atLeast"/>
        </w:trPr>
        <w:tc>
          <w:tcPr>
            <w:tcW w:w="2963" w:type="dxa"/>
            <w:tcBorders>
              <w:top w:val="single" w:color="auto" w:sz="4" w:space="0"/>
              <w:left w:val="single" w:color="auto" w:sz="4" w:space="0"/>
              <w:bottom w:val="single" w:color="auto" w:sz="4" w:space="0"/>
              <w:right w:val="single" w:color="auto" w:sz="4" w:space="0"/>
            </w:tcBorders>
            <w:vAlign w:val="center"/>
          </w:tcPr>
          <w:p w14:paraId="1D69C309">
            <w:pPr>
              <w:widowControl/>
              <w:spacing w:line="340" w:lineRule="exact"/>
              <w:jc w:val="center"/>
              <w:rPr>
                <w:rFonts w:ascii="仿宋_GB2312" w:hAnsi="仿宋_GB2312" w:eastAsia="仿宋_GB2312" w:cs="仿宋_GB2312"/>
                <w:kern w:val="0"/>
                <w:sz w:val="24"/>
                <w:szCs w:val="24"/>
                <w:shd w:val="clear" w:color="auto" w:fill="FFFFFF"/>
              </w:rPr>
            </w:pPr>
            <w:r>
              <w:rPr>
                <w:rFonts w:hint="eastAsia" w:ascii="仿宋_GB2312" w:hAnsi="仿宋_GB2312" w:eastAsia="仿宋_GB2312" w:cs="仿宋_GB2312"/>
                <w:kern w:val="0"/>
                <w:sz w:val="24"/>
                <w:szCs w:val="24"/>
                <w:shd w:val="clear" w:color="auto" w:fill="FFFFFF"/>
              </w:rPr>
              <w:t>花垣县教师资格认定机构</w:t>
            </w:r>
          </w:p>
        </w:tc>
        <w:tc>
          <w:tcPr>
            <w:tcW w:w="4812" w:type="dxa"/>
            <w:tcBorders>
              <w:top w:val="single" w:color="auto" w:sz="4" w:space="0"/>
              <w:left w:val="single" w:color="auto" w:sz="4" w:space="0"/>
              <w:bottom w:val="single" w:color="auto" w:sz="4" w:space="0"/>
              <w:right w:val="single" w:color="auto" w:sz="4" w:space="0"/>
            </w:tcBorders>
            <w:vAlign w:val="center"/>
          </w:tcPr>
          <w:p w14:paraId="519AF439">
            <w:pPr>
              <w:widowControl/>
              <w:spacing w:line="340" w:lineRule="exact"/>
              <w:jc w:val="center"/>
              <w:rPr>
                <w:rFonts w:ascii="仿宋_GB2312" w:hAnsi="仿宋_GB2312" w:eastAsia="仿宋_GB2312" w:cs="仿宋_GB2312"/>
                <w:kern w:val="0"/>
                <w:sz w:val="24"/>
                <w:szCs w:val="24"/>
                <w:shd w:val="clear" w:color="auto" w:fill="FFFFFF"/>
              </w:rPr>
            </w:pPr>
            <w:r>
              <w:rPr>
                <w:rFonts w:hint="eastAsia" w:ascii="仿宋_GB2312" w:hAnsi="仿宋_GB2312" w:eastAsia="仿宋_GB2312" w:cs="仿宋_GB2312"/>
                <w:kern w:val="0"/>
                <w:sz w:val="24"/>
                <w:szCs w:val="24"/>
              </w:rPr>
              <w:t>花垣县教育和体育局教师股</w:t>
            </w:r>
          </w:p>
        </w:tc>
        <w:tc>
          <w:tcPr>
            <w:tcW w:w="2124" w:type="dxa"/>
            <w:tcBorders>
              <w:top w:val="single" w:color="auto" w:sz="4" w:space="0"/>
              <w:left w:val="single" w:color="auto" w:sz="4" w:space="0"/>
              <w:bottom w:val="single" w:color="auto" w:sz="4" w:space="0"/>
              <w:right w:val="single" w:color="auto" w:sz="4" w:space="0"/>
            </w:tcBorders>
            <w:vAlign w:val="center"/>
          </w:tcPr>
          <w:p w14:paraId="792C87F7">
            <w:pPr>
              <w:widowControl/>
              <w:spacing w:line="340" w:lineRule="exact"/>
              <w:jc w:val="center"/>
              <w:rPr>
                <w:rFonts w:ascii="仿宋_GB2312" w:hAnsi="仿宋_GB2312" w:eastAsia="仿宋_GB2312" w:cs="仿宋_GB2312"/>
                <w:kern w:val="0"/>
                <w:sz w:val="24"/>
                <w:szCs w:val="24"/>
                <w:shd w:val="clear" w:color="auto" w:fill="FFFFFF"/>
              </w:rPr>
            </w:pPr>
            <w:r>
              <w:rPr>
                <w:rFonts w:hint="eastAsia" w:ascii="仿宋_GB2312" w:hAnsi="仿宋_GB2312" w:eastAsia="仿宋_GB2312" w:cs="仿宋_GB2312"/>
                <w:kern w:val="0"/>
                <w:sz w:val="24"/>
                <w:szCs w:val="24"/>
                <w:shd w:val="clear" w:color="auto" w:fill="FFFFFF"/>
              </w:rPr>
              <w:t>0743-7213307</w:t>
            </w:r>
          </w:p>
        </w:tc>
      </w:tr>
      <w:tr w14:paraId="1195D8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2963" w:type="dxa"/>
            <w:tcBorders>
              <w:top w:val="single" w:color="auto" w:sz="4" w:space="0"/>
              <w:left w:val="single" w:color="auto" w:sz="4" w:space="0"/>
              <w:bottom w:val="single" w:color="auto" w:sz="4" w:space="0"/>
              <w:right w:val="single" w:color="auto" w:sz="4" w:space="0"/>
            </w:tcBorders>
            <w:vAlign w:val="center"/>
          </w:tcPr>
          <w:p w14:paraId="61794385">
            <w:pPr>
              <w:widowControl/>
              <w:spacing w:line="340" w:lineRule="exact"/>
              <w:jc w:val="center"/>
              <w:rPr>
                <w:rFonts w:ascii="仿宋_GB2312" w:hAnsi="仿宋_GB2312" w:eastAsia="仿宋_GB2312" w:cs="仿宋_GB2312"/>
                <w:kern w:val="0"/>
                <w:sz w:val="24"/>
                <w:szCs w:val="24"/>
                <w:shd w:val="clear" w:color="auto" w:fill="FFFFFF"/>
              </w:rPr>
            </w:pPr>
            <w:r>
              <w:rPr>
                <w:rFonts w:hint="eastAsia" w:ascii="仿宋_GB2312" w:hAnsi="仿宋_GB2312" w:eastAsia="仿宋_GB2312" w:cs="仿宋_GB2312"/>
                <w:kern w:val="0"/>
                <w:sz w:val="24"/>
                <w:szCs w:val="24"/>
                <w:shd w:val="clear" w:color="auto" w:fill="FFFFFF"/>
              </w:rPr>
              <w:t>保靖县教师资格认定机构</w:t>
            </w:r>
          </w:p>
        </w:tc>
        <w:tc>
          <w:tcPr>
            <w:tcW w:w="4812" w:type="dxa"/>
            <w:tcBorders>
              <w:top w:val="single" w:color="auto" w:sz="4" w:space="0"/>
              <w:left w:val="single" w:color="auto" w:sz="4" w:space="0"/>
              <w:bottom w:val="single" w:color="auto" w:sz="4" w:space="0"/>
              <w:right w:val="single" w:color="auto" w:sz="4" w:space="0"/>
            </w:tcBorders>
            <w:vAlign w:val="center"/>
          </w:tcPr>
          <w:p w14:paraId="770ADC6F">
            <w:pPr>
              <w:widowControl/>
              <w:spacing w:line="340" w:lineRule="exact"/>
              <w:jc w:val="center"/>
              <w:rPr>
                <w:rFonts w:ascii="仿宋_GB2312" w:hAnsi="仿宋_GB2312" w:eastAsia="仿宋_GB2312" w:cs="仿宋_GB2312"/>
                <w:kern w:val="0"/>
                <w:sz w:val="24"/>
                <w:szCs w:val="24"/>
                <w:shd w:val="clear" w:color="auto" w:fill="FFFFFF"/>
              </w:rPr>
            </w:pPr>
            <w:r>
              <w:rPr>
                <w:rFonts w:hint="eastAsia" w:ascii="仿宋_GB2312" w:hAnsi="仿宋_GB2312" w:eastAsia="仿宋_GB2312" w:cs="仿宋_GB2312"/>
                <w:kern w:val="0"/>
                <w:sz w:val="24"/>
                <w:szCs w:val="24"/>
                <w:shd w:val="clear" w:color="auto" w:fill="FFFFFF"/>
              </w:rPr>
              <w:t>保靖县政务中心二楼教育和体育局服务窗口</w:t>
            </w:r>
          </w:p>
        </w:tc>
        <w:tc>
          <w:tcPr>
            <w:tcW w:w="2124" w:type="dxa"/>
            <w:tcBorders>
              <w:top w:val="single" w:color="auto" w:sz="4" w:space="0"/>
              <w:left w:val="single" w:color="auto" w:sz="4" w:space="0"/>
              <w:bottom w:val="single" w:color="auto" w:sz="4" w:space="0"/>
              <w:right w:val="single" w:color="auto" w:sz="4" w:space="0"/>
            </w:tcBorders>
            <w:vAlign w:val="center"/>
          </w:tcPr>
          <w:p w14:paraId="1766D909">
            <w:pPr>
              <w:widowControl/>
              <w:spacing w:line="340" w:lineRule="exact"/>
              <w:jc w:val="center"/>
              <w:rPr>
                <w:rFonts w:ascii="仿宋_GB2312" w:hAnsi="仿宋_GB2312" w:eastAsia="仿宋_GB2312" w:cs="仿宋_GB2312"/>
                <w:kern w:val="0"/>
                <w:sz w:val="24"/>
                <w:szCs w:val="24"/>
                <w:shd w:val="clear" w:color="auto" w:fill="FFFFFF"/>
              </w:rPr>
            </w:pPr>
            <w:r>
              <w:rPr>
                <w:rFonts w:hint="eastAsia" w:ascii="仿宋_GB2312" w:hAnsi="仿宋_GB2312" w:eastAsia="仿宋_GB2312" w:cs="仿宋_GB2312"/>
                <w:kern w:val="0"/>
                <w:sz w:val="24"/>
                <w:szCs w:val="24"/>
                <w:shd w:val="clear" w:color="auto" w:fill="FFFFFF"/>
              </w:rPr>
              <w:t>0743-7724359</w:t>
            </w:r>
          </w:p>
          <w:p w14:paraId="2FE1544D">
            <w:pPr>
              <w:widowControl/>
              <w:spacing w:line="340" w:lineRule="exact"/>
              <w:jc w:val="center"/>
              <w:rPr>
                <w:rFonts w:ascii="仿宋_GB2312" w:hAnsi="仿宋_GB2312" w:eastAsia="仿宋_GB2312" w:cs="仿宋_GB2312"/>
                <w:kern w:val="0"/>
                <w:sz w:val="24"/>
                <w:szCs w:val="24"/>
                <w:shd w:val="clear" w:color="auto" w:fill="FFFFFF"/>
              </w:rPr>
            </w:pPr>
            <w:r>
              <w:rPr>
                <w:rFonts w:hint="eastAsia" w:ascii="仿宋_GB2312" w:hAnsi="仿宋_GB2312" w:eastAsia="仿宋_GB2312" w:cs="仿宋_GB2312"/>
                <w:kern w:val="0"/>
                <w:sz w:val="24"/>
                <w:szCs w:val="24"/>
                <w:shd w:val="clear" w:color="auto" w:fill="FFFFFF"/>
              </w:rPr>
              <w:t>0743—7723350</w:t>
            </w:r>
          </w:p>
        </w:tc>
      </w:tr>
      <w:tr w14:paraId="1F5670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2963" w:type="dxa"/>
            <w:tcBorders>
              <w:top w:val="single" w:color="auto" w:sz="4" w:space="0"/>
              <w:left w:val="single" w:color="auto" w:sz="4" w:space="0"/>
              <w:bottom w:val="single" w:color="auto" w:sz="4" w:space="0"/>
              <w:right w:val="single" w:color="auto" w:sz="4" w:space="0"/>
            </w:tcBorders>
            <w:vAlign w:val="center"/>
          </w:tcPr>
          <w:p w14:paraId="0F6364C3">
            <w:pPr>
              <w:widowControl/>
              <w:spacing w:line="340" w:lineRule="exact"/>
              <w:jc w:val="center"/>
              <w:rPr>
                <w:rFonts w:ascii="仿宋_GB2312" w:hAnsi="仿宋_GB2312" w:eastAsia="仿宋_GB2312" w:cs="仿宋_GB2312"/>
                <w:kern w:val="0"/>
                <w:sz w:val="24"/>
                <w:szCs w:val="24"/>
                <w:shd w:val="clear" w:color="auto" w:fill="FFFFFF"/>
              </w:rPr>
            </w:pPr>
            <w:r>
              <w:rPr>
                <w:rFonts w:hint="eastAsia" w:ascii="仿宋_GB2312" w:hAnsi="仿宋_GB2312" w:eastAsia="仿宋_GB2312" w:cs="仿宋_GB2312"/>
                <w:kern w:val="0"/>
                <w:sz w:val="24"/>
                <w:szCs w:val="24"/>
                <w:shd w:val="clear" w:color="auto" w:fill="FFFFFF"/>
              </w:rPr>
              <w:t>永顺县教师资格认定机构</w:t>
            </w:r>
          </w:p>
        </w:tc>
        <w:tc>
          <w:tcPr>
            <w:tcW w:w="4812" w:type="dxa"/>
            <w:tcBorders>
              <w:top w:val="single" w:color="auto" w:sz="4" w:space="0"/>
              <w:left w:val="single" w:color="auto" w:sz="4" w:space="0"/>
              <w:bottom w:val="single" w:color="auto" w:sz="4" w:space="0"/>
              <w:right w:val="single" w:color="auto" w:sz="4" w:space="0"/>
            </w:tcBorders>
            <w:vAlign w:val="center"/>
          </w:tcPr>
          <w:p w14:paraId="7AD340F8">
            <w:pPr>
              <w:widowControl/>
              <w:spacing w:line="340" w:lineRule="exact"/>
              <w:jc w:val="center"/>
              <w:rPr>
                <w:rFonts w:ascii="仿宋_GB2312" w:hAnsi="仿宋_GB2312" w:eastAsia="仿宋_GB2312" w:cs="仿宋_GB2312"/>
                <w:kern w:val="0"/>
                <w:sz w:val="24"/>
                <w:szCs w:val="24"/>
                <w:shd w:val="clear" w:color="auto" w:fill="FFFFFF"/>
              </w:rPr>
            </w:pPr>
            <w:r>
              <w:rPr>
                <w:rFonts w:hint="eastAsia" w:ascii="仿宋_GB2312" w:hAnsi="仿宋_GB2312" w:eastAsia="仿宋_GB2312" w:cs="仿宋_GB2312"/>
                <w:kern w:val="0"/>
                <w:sz w:val="24"/>
                <w:szCs w:val="24"/>
              </w:rPr>
              <w:t>永顺县政务服务中心二楼教育和体育窗口</w:t>
            </w:r>
          </w:p>
        </w:tc>
        <w:tc>
          <w:tcPr>
            <w:tcW w:w="2124" w:type="dxa"/>
            <w:tcBorders>
              <w:top w:val="single" w:color="auto" w:sz="4" w:space="0"/>
              <w:left w:val="single" w:color="auto" w:sz="4" w:space="0"/>
              <w:bottom w:val="single" w:color="auto" w:sz="4" w:space="0"/>
              <w:right w:val="single" w:color="auto" w:sz="4" w:space="0"/>
            </w:tcBorders>
            <w:vAlign w:val="center"/>
          </w:tcPr>
          <w:p w14:paraId="1306E54A">
            <w:pPr>
              <w:widowControl/>
              <w:spacing w:line="340" w:lineRule="exact"/>
              <w:jc w:val="center"/>
              <w:rPr>
                <w:rFonts w:ascii="仿宋_GB2312" w:hAnsi="仿宋_GB2312" w:eastAsia="仿宋_GB2312" w:cs="仿宋_GB2312"/>
                <w:kern w:val="0"/>
                <w:sz w:val="24"/>
                <w:szCs w:val="24"/>
                <w:shd w:val="clear" w:color="auto" w:fill="FFFFFF"/>
              </w:rPr>
            </w:pPr>
            <w:r>
              <w:rPr>
                <w:rFonts w:hint="eastAsia" w:ascii="仿宋_GB2312" w:hAnsi="仿宋_GB2312" w:eastAsia="仿宋_GB2312" w:cs="仿宋_GB2312"/>
                <w:kern w:val="0"/>
                <w:sz w:val="24"/>
                <w:szCs w:val="24"/>
                <w:shd w:val="clear" w:color="auto" w:fill="FFFFFF"/>
              </w:rPr>
              <w:t>0743-5235607</w:t>
            </w:r>
          </w:p>
          <w:p w14:paraId="2F4BFAD5">
            <w:pPr>
              <w:widowControl/>
              <w:spacing w:line="340" w:lineRule="exact"/>
              <w:jc w:val="center"/>
              <w:rPr>
                <w:rFonts w:ascii="仿宋_GB2312" w:hAnsi="仿宋_GB2312" w:eastAsia="仿宋_GB2312" w:cs="仿宋_GB2312"/>
                <w:kern w:val="0"/>
                <w:sz w:val="24"/>
                <w:szCs w:val="24"/>
                <w:shd w:val="clear" w:color="auto" w:fill="FFFFFF"/>
              </w:rPr>
            </w:pPr>
            <w:r>
              <w:rPr>
                <w:rFonts w:hint="eastAsia" w:ascii="仿宋_GB2312" w:hAnsi="仿宋_GB2312" w:eastAsia="仿宋_GB2312" w:cs="仿宋_GB2312"/>
                <w:kern w:val="0"/>
                <w:sz w:val="24"/>
                <w:szCs w:val="24"/>
                <w:shd w:val="clear" w:color="auto" w:fill="FFFFFF"/>
              </w:rPr>
              <w:t>0743-5222028</w:t>
            </w:r>
          </w:p>
        </w:tc>
      </w:tr>
      <w:tr w14:paraId="431898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trPr>
        <w:tc>
          <w:tcPr>
            <w:tcW w:w="2963" w:type="dxa"/>
            <w:tcBorders>
              <w:top w:val="single" w:color="auto" w:sz="4" w:space="0"/>
              <w:left w:val="single" w:color="auto" w:sz="4" w:space="0"/>
              <w:bottom w:val="single" w:color="auto" w:sz="4" w:space="0"/>
              <w:right w:val="single" w:color="auto" w:sz="4" w:space="0"/>
            </w:tcBorders>
            <w:vAlign w:val="center"/>
          </w:tcPr>
          <w:p w14:paraId="0E32AC60">
            <w:pPr>
              <w:widowControl/>
              <w:spacing w:line="340" w:lineRule="exact"/>
              <w:jc w:val="center"/>
              <w:rPr>
                <w:rFonts w:ascii="仿宋_GB2312" w:hAnsi="仿宋_GB2312" w:eastAsia="仿宋_GB2312" w:cs="仿宋_GB2312"/>
                <w:kern w:val="0"/>
                <w:sz w:val="24"/>
                <w:szCs w:val="24"/>
                <w:shd w:val="clear" w:color="auto" w:fill="FFFFFF"/>
              </w:rPr>
            </w:pPr>
            <w:r>
              <w:rPr>
                <w:rFonts w:hint="eastAsia" w:ascii="仿宋_GB2312" w:hAnsi="仿宋_GB2312" w:eastAsia="仿宋_GB2312" w:cs="仿宋_GB2312"/>
                <w:kern w:val="0"/>
                <w:sz w:val="24"/>
                <w:szCs w:val="24"/>
                <w:shd w:val="clear" w:color="auto" w:fill="FFFFFF"/>
              </w:rPr>
              <w:t>龙山县教师资格认定机构</w:t>
            </w:r>
          </w:p>
        </w:tc>
        <w:tc>
          <w:tcPr>
            <w:tcW w:w="4812" w:type="dxa"/>
            <w:tcBorders>
              <w:top w:val="single" w:color="auto" w:sz="4" w:space="0"/>
              <w:left w:val="single" w:color="auto" w:sz="4" w:space="0"/>
              <w:bottom w:val="single" w:color="auto" w:sz="4" w:space="0"/>
              <w:right w:val="single" w:color="auto" w:sz="4" w:space="0"/>
            </w:tcBorders>
            <w:vAlign w:val="center"/>
          </w:tcPr>
          <w:p w14:paraId="6531B066">
            <w:pPr>
              <w:widowControl/>
              <w:spacing w:line="340" w:lineRule="exact"/>
              <w:jc w:val="center"/>
              <w:rPr>
                <w:rFonts w:ascii="仿宋_GB2312" w:hAnsi="仿宋_GB2312" w:eastAsia="仿宋_GB2312" w:cs="仿宋_GB2312"/>
                <w:kern w:val="0"/>
                <w:sz w:val="24"/>
                <w:szCs w:val="24"/>
                <w:shd w:val="clear" w:color="auto" w:fill="FFFFFF"/>
              </w:rPr>
            </w:pPr>
            <w:r>
              <w:rPr>
                <w:rFonts w:hint="eastAsia" w:ascii="仿宋_GB2312" w:hAnsi="仿宋_GB2312" w:eastAsia="仿宋_GB2312" w:cs="仿宋_GB2312"/>
                <w:kern w:val="0"/>
                <w:sz w:val="24"/>
                <w:szCs w:val="24"/>
              </w:rPr>
              <w:t>龙山县市民之家一楼综合受理窗口136-140。</w:t>
            </w:r>
          </w:p>
        </w:tc>
        <w:tc>
          <w:tcPr>
            <w:tcW w:w="2124" w:type="dxa"/>
            <w:tcBorders>
              <w:top w:val="single" w:color="auto" w:sz="4" w:space="0"/>
              <w:left w:val="single" w:color="auto" w:sz="4" w:space="0"/>
              <w:bottom w:val="single" w:color="auto" w:sz="4" w:space="0"/>
              <w:right w:val="single" w:color="auto" w:sz="4" w:space="0"/>
            </w:tcBorders>
            <w:vAlign w:val="center"/>
          </w:tcPr>
          <w:p w14:paraId="30BC2430">
            <w:pPr>
              <w:widowControl/>
              <w:spacing w:line="340" w:lineRule="exact"/>
              <w:jc w:val="center"/>
              <w:rPr>
                <w:rFonts w:ascii="仿宋_GB2312" w:hAnsi="仿宋_GB2312" w:eastAsia="仿宋_GB2312" w:cs="仿宋_GB2312"/>
                <w:kern w:val="0"/>
                <w:sz w:val="24"/>
                <w:szCs w:val="24"/>
                <w:shd w:val="clear" w:color="auto" w:fill="FFFFFF"/>
              </w:rPr>
            </w:pPr>
            <w:r>
              <w:rPr>
                <w:rFonts w:hint="eastAsia" w:ascii="仿宋_GB2312" w:hAnsi="仿宋_GB2312" w:eastAsia="仿宋_GB2312" w:cs="仿宋_GB2312"/>
                <w:kern w:val="0"/>
                <w:sz w:val="24"/>
                <w:szCs w:val="24"/>
                <w:shd w:val="clear" w:color="auto" w:fill="FFFFFF"/>
              </w:rPr>
              <w:t>0743-6236835</w:t>
            </w:r>
          </w:p>
        </w:tc>
      </w:tr>
    </w:tbl>
    <w:p w14:paraId="38828223">
      <w:pPr>
        <w:spacing w:line="560" w:lineRule="exact"/>
        <w:ind w:left="960" w:hanging="960" w:hangingChars="300"/>
        <w:rPr>
          <w:rFonts w:ascii="仿宋" w:hAnsi="仿宋" w:eastAsia="仿宋" w:cs="仿宋_GB2312"/>
          <w:kern w:val="0"/>
          <w:sz w:val="32"/>
          <w:szCs w:val="32"/>
          <w:shd w:val="clear" w:color="auto" w:fill="FFFFFF"/>
        </w:rPr>
      </w:pPr>
      <w:r>
        <w:rPr>
          <w:rFonts w:hint="eastAsia" w:ascii="仿宋" w:hAnsi="仿宋" w:eastAsia="仿宋" w:cs="仿宋_GB2312"/>
          <w:kern w:val="0"/>
          <w:sz w:val="32"/>
          <w:szCs w:val="32"/>
          <w:shd w:val="clear" w:color="auto" w:fill="FFFFFF"/>
        </w:rPr>
        <w:t>注：1.州教体局教师资格认定机构负责湘西州辖区内高中、中职和中职实习指导教师资格认定。</w:t>
      </w:r>
    </w:p>
    <w:p w14:paraId="67F08201">
      <w:pPr>
        <w:spacing w:line="560" w:lineRule="exact"/>
        <w:ind w:left="958" w:leftChars="304" w:hanging="320" w:hangingChars="100"/>
        <w:rPr>
          <w:rFonts w:ascii="仿宋" w:hAnsi="仿宋" w:eastAsia="仿宋" w:cs="仿宋_GB2312"/>
          <w:kern w:val="0"/>
          <w:sz w:val="32"/>
          <w:szCs w:val="32"/>
          <w:shd w:val="clear" w:color="auto" w:fill="FFFFFF"/>
        </w:rPr>
      </w:pPr>
      <w:r>
        <w:rPr>
          <w:rFonts w:hint="eastAsia" w:ascii="仿宋" w:hAnsi="仿宋" w:eastAsia="仿宋" w:cs="仿宋_GB2312"/>
          <w:kern w:val="0"/>
          <w:sz w:val="32"/>
          <w:szCs w:val="32"/>
          <w:shd w:val="clear" w:color="auto" w:fill="FFFFFF"/>
        </w:rPr>
        <w:t>2.各县市教师资格认定机构负责各自辖区内初中及初中以下教资格认定。</w:t>
      </w:r>
    </w:p>
    <w:p w14:paraId="3C8F5AF5">
      <w:pPr>
        <w:spacing w:line="560" w:lineRule="exact"/>
        <w:ind w:firstLine="640" w:firstLineChars="200"/>
        <w:rPr>
          <w:rFonts w:hint="eastAsia" w:ascii="仿宋" w:hAnsi="仿宋" w:eastAsia="仿宋" w:cs="仿宋_GB2312"/>
          <w:kern w:val="0"/>
          <w:sz w:val="32"/>
          <w:szCs w:val="32"/>
          <w:shd w:val="clear" w:color="auto" w:fill="FFFFFF"/>
        </w:rPr>
      </w:pPr>
      <w:r>
        <w:rPr>
          <w:rFonts w:hint="eastAsia" w:ascii="仿宋" w:hAnsi="仿宋" w:eastAsia="仿宋" w:cs="仿宋_GB2312"/>
          <w:kern w:val="0"/>
          <w:sz w:val="32"/>
          <w:szCs w:val="32"/>
          <w:shd w:val="clear" w:color="auto" w:fill="FFFFFF"/>
        </w:rPr>
        <w:t>3.联系时间统一为正常上班时间。</w:t>
      </w:r>
    </w:p>
    <w:p w14:paraId="71D9884E">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firstLineChars="200"/>
        <w:textAlignment w:val="auto"/>
      </w:pPr>
      <w:r>
        <w:rPr>
          <w:rFonts w:hint="eastAsia" w:ascii="仿宋" w:hAnsi="仿宋" w:eastAsia="仿宋" w:cs="仿宋_GB2312"/>
          <w:kern w:val="0"/>
          <w:sz w:val="32"/>
          <w:szCs w:val="32"/>
          <w:shd w:val="clear" w:color="auto" w:fill="FFFFFF"/>
          <w:lang w:val="en-US" w:eastAsia="zh-CN"/>
        </w:rPr>
        <w:t>4.</w:t>
      </w:r>
      <w:r>
        <w:rPr>
          <w:rFonts w:hint="eastAsia" w:ascii="仿宋" w:hAnsi="仿宋" w:eastAsia="仿宋"/>
          <w:kern w:val="0"/>
          <w:sz w:val="32"/>
          <w:szCs w:val="32"/>
          <w:lang w:eastAsia="zh-CN"/>
        </w:rPr>
        <w:t>为方便认定人员、避免资源浪费，对高中、中职认定工作有疑问或有问题咨询的可以加入</w:t>
      </w:r>
      <w:r>
        <w:rPr>
          <w:rFonts w:hint="eastAsia" w:ascii="仿宋" w:hAnsi="仿宋" w:eastAsia="仿宋"/>
          <w:kern w:val="0"/>
          <w:sz w:val="32"/>
          <w:szCs w:val="32"/>
          <w:lang w:val="en-US" w:eastAsia="zh-CN"/>
        </w:rPr>
        <w:t>QQ群（973881594）。</w:t>
      </w:r>
    </w:p>
    <w:sectPr>
      <w:footerReference r:id="rId3" w:type="default"/>
      <w:pgSz w:w="11906" w:h="16838"/>
      <w:pgMar w:top="1417" w:right="1531" w:bottom="1474" w:left="1531" w:header="851" w:footer="992" w:gutter="0"/>
      <w:pgNumType w:fmt="numberInDash" w:start="2"/>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永中宋体">
    <w:altName w:val="宋体"/>
    <w:panose1 w:val="02010600030101010101"/>
    <w:charset w:val="86"/>
    <w:family w:val="auto"/>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DF3167">
    <w:pPr>
      <w:pStyle w:val="3"/>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8"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14:paraId="4FE9F3D2">
                          <w:pPr>
                            <w:pStyle w:val="3"/>
                          </w:pPr>
                          <w:r>
                            <w:rPr>
                              <w:rFonts w:hint="eastAsia" w:ascii="永中宋体" w:hAnsi="永中宋体" w:eastAsia="永中宋体" w:cs="永中宋体"/>
                              <w:sz w:val="24"/>
                              <w:szCs w:val="24"/>
                            </w:rPr>
                            <w:fldChar w:fldCharType="begin"/>
                          </w:r>
                          <w:r>
                            <w:rPr>
                              <w:rFonts w:hint="eastAsia" w:ascii="永中宋体" w:hAnsi="永中宋体" w:eastAsia="永中宋体" w:cs="永中宋体"/>
                              <w:sz w:val="24"/>
                              <w:szCs w:val="24"/>
                            </w:rPr>
                            <w:instrText xml:space="preserve"> PAGE  \* MERGEFORMAT </w:instrText>
                          </w:r>
                          <w:r>
                            <w:rPr>
                              <w:rFonts w:hint="eastAsia" w:ascii="永中宋体" w:hAnsi="永中宋体" w:eastAsia="永中宋体" w:cs="永中宋体"/>
                              <w:sz w:val="24"/>
                              <w:szCs w:val="24"/>
                            </w:rPr>
                            <w:fldChar w:fldCharType="separate"/>
                          </w:r>
                          <w:r>
                            <w:rPr>
                              <w:rFonts w:ascii="永中宋体" w:hAnsi="永中宋体" w:eastAsia="永中宋体" w:cs="永中宋体"/>
                              <w:sz w:val="24"/>
                              <w:szCs w:val="24"/>
                            </w:rPr>
                            <w:t>- 8 -</w:t>
                          </w:r>
                          <w:r>
                            <w:rPr>
                              <w:rFonts w:hint="eastAsia" w:ascii="永中宋体" w:hAnsi="永中宋体" w:eastAsia="永中宋体" w:cs="永中宋体"/>
                              <w:sz w:val="24"/>
                              <w:szCs w:val="24"/>
                            </w:rPr>
                            <w:fldChar w:fldCharType="end"/>
                          </w:r>
                        </w:p>
                      </w:txbxContent>
                    </wps:txbx>
                    <wps:bodyPr wrap="none" lIns="0" tIns="0" rIns="0" bIns="0" upright="1">
                      <a:spAutoFit/>
                    </wps:bodyPr>
                  </wps:wsp>
                </a:graphicData>
              </a:graphic>
            </wp:anchor>
          </w:drawing>
        </mc:Choice>
        <mc:Fallback>
          <w:pict>
            <v:shape id="文本框 1"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sxKgPSAQAAowMAAA4AAABkcnMvZTJvRG9jLnhtbK1TzY7TMBC+I/EO&#10;lu80aRGrKqq7AlWLkBAgLfsArmM3lvwnj9ukLwBvwIkLd56rz8HYSbpoueyBizPjGX8z3zeTze1g&#10;DTnJCNo7RpeLmhLphG+1OzD68PXu1ZoSSNy13HgnGT1LoLfbly82fWjkynfetDISBHHQ9IHRLqXQ&#10;VBWITloOCx+kw6Dy0fKEbjxUbeQ9oltTrer6pup9bEP0QgLg7W4M0gkxPgfQK6WF3HlxtNKlETVK&#10;wxNSgk4HoNvSrVJSpM9KgUzEMIpMUzmxCNr7fFbbDW8OkYdOi6kF/pwWnnCyXDsseoXa8cTJMep/&#10;oKwW0YNXaSG8rUYiRRFksayfaHPf8SALF5QawlV0+H+w4tPpSyS6ZXSFc3fc4sQvP75ffv6+/PpG&#10;llmfPkCDafcBE9Pwzg+4NfM94GWmPaho8xcJEYyjuuerunJIRORH69V6XWNIYGx2EL96fB4ipPfS&#10;W5INRiOOr6jKTx8hjalzSq7m/J02pozQONIzevP6TV0eXCMIbhzWyCTGZrOVhv0wMdv79ozEelwB&#10;Rh1uPCXmg0OF87bMRpyN/WwcQ9SHDntclnoQ3h4TdlOazBVG2Kkwzq7QnPYsL8fffsl6/Le2fw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CzSVju0AAAAAUBAAAPAAAAAAAAAAEAIAAAACIAAABkcnMv&#10;ZG93bnJldi54bWxQSwECFAAUAAAACACHTuJA2zEqA9IBAACjAwAADgAAAAAAAAABACAAAAAfAQAA&#10;ZHJzL2Uyb0RvYy54bWxQSwUGAAAAAAYABgBZAQAAYwUAAAAA&#10;">
              <v:fill on="f" focussize="0,0"/>
              <v:stroke on="f" weight="0.5pt"/>
              <v:imagedata o:title=""/>
              <o:lock v:ext="edit" aspectratio="f"/>
              <v:textbox inset="0mm,0mm,0mm,0mm" style="mso-fit-shape-to-text:t;">
                <w:txbxContent>
                  <w:p w14:paraId="4FE9F3D2">
                    <w:pPr>
                      <w:pStyle w:val="3"/>
                    </w:pPr>
                    <w:r>
                      <w:rPr>
                        <w:rFonts w:hint="eastAsia" w:ascii="永中宋体" w:hAnsi="永中宋体" w:eastAsia="永中宋体" w:cs="永中宋体"/>
                        <w:sz w:val="24"/>
                        <w:szCs w:val="24"/>
                      </w:rPr>
                      <w:fldChar w:fldCharType="begin"/>
                    </w:r>
                    <w:r>
                      <w:rPr>
                        <w:rFonts w:hint="eastAsia" w:ascii="永中宋体" w:hAnsi="永中宋体" w:eastAsia="永中宋体" w:cs="永中宋体"/>
                        <w:sz w:val="24"/>
                        <w:szCs w:val="24"/>
                      </w:rPr>
                      <w:instrText xml:space="preserve"> PAGE  \* MERGEFORMAT </w:instrText>
                    </w:r>
                    <w:r>
                      <w:rPr>
                        <w:rFonts w:hint="eastAsia" w:ascii="永中宋体" w:hAnsi="永中宋体" w:eastAsia="永中宋体" w:cs="永中宋体"/>
                        <w:sz w:val="24"/>
                        <w:szCs w:val="24"/>
                      </w:rPr>
                      <w:fldChar w:fldCharType="separate"/>
                    </w:r>
                    <w:r>
                      <w:rPr>
                        <w:rFonts w:ascii="永中宋体" w:hAnsi="永中宋体" w:eastAsia="永中宋体" w:cs="永中宋体"/>
                        <w:sz w:val="24"/>
                        <w:szCs w:val="24"/>
                      </w:rPr>
                      <w:t>- 8 -</w:t>
                    </w:r>
                    <w:r>
                      <w:rPr>
                        <w:rFonts w:hint="eastAsia" w:ascii="永中宋体" w:hAnsi="永中宋体" w:eastAsia="永中宋体" w:cs="永中宋体"/>
                        <w:sz w:val="24"/>
                        <w:szCs w:val="24"/>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CFEF79DB"/>
    <w:rsid w:val="0008025A"/>
    <w:rsid w:val="002D3A41"/>
    <w:rsid w:val="003B2096"/>
    <w:rsid w:val="00412B7B"/>
    <w:rsid w:val="004250CB"/>
    <w:rsid w:val="0051023D"/>
    <w:rsid w:val="008F6692"/>
    <w:rsid w:val="00CF32FD"/>
    <w:rsid w:val="00D357DA"/>
    <w:rsid w:val="00DD0990"/>
    <w:rsid w:val="00E03612"/>
    <w:rsid w:val="07CD9C37"/>
    <w:rsid w:val="1DFE7291"/>
    <w:rsid w:val="3B4BD1F7"/>
    <w:rsid w:val="3B9AC6C3"/>
    <w:rsid w:val="4FDF44F0"/>
    <w:rsid w:val="5DF2CA3E"/>
    <w:rsid w:val="5FBE25A0"/>
    <w:rsid w:val="7759079A"/>
    <w:rsid w:val="776D9383"/>
    <w:rsid w:val="77F57404"/>
    <w:rsid w:val="7ACA5AF0"/>
    <w:rsid w:val="7DF79DD7"/>
    <w:rsid w:val="7E5D3FEC"/>
    <w:rsid w:val="7E7DCEE5"/>
    <w:rsid w:val="7EBAC487"/>
    <w:rsid w:val="7F6F1BC4"/>
    <w:rsid w:val="7F75D92A"/>
    <w:rsid w:val="7F833DB6"/>
    <w:rsid w:val="7FBB2D2A"/>
    <w:rsid w:val="7FFD41D5"/>
    <w:rsid w:val="95BBBB81"/>
    <w:rsid w:val="BFEF9B07"/>
    <w:rsid w:val="BFF74DDC"/>
    <w:rsid w:val="CFEF79DB"/>
    <w:rsid w:val="DFF93C6A"/>
    <w:rsid w:val="F1F47439"/>
    <w:rsid w:val="F6FEDD2A"/>
    <w:rsid w:val="F93D97CE"/>
    <w:rsid w:val="FBBE84A3"/>
    <w:rsid w:val="FEFC62B8"/>
    <w:rsid w:val="FF379EAF"/>
    <w:rsid w:val="FF3F87EB"/>
    <w:rsid w:val="FFBF1C66"/>
    <w:rsid w:val="FFDD773F"/>
    <w:rsid w:val="FFF9D9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1"/>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qFormat/>
    <w:uiPriority w:val="0"/>
    <w:rPr>
      <w:sz w:val="18"/>
      <w:szCs w:val="18"/>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unhideWhenUsed/>
    <w:qFormat/>
    <w:uiPriority w:val="99"/>
    <w:pPr>
      <w:spacing w:beforeAutospacing="1" w:afterAutospacing="1"/>
      <w:jc w:val="left"/>
    </w:pPr>
    <w:rPr>
      <w:kern w:val="0"/>
      <w:sz w:val="24"/>
    </w:rPr>
  </w:style>
  <w:style w:type="table" w:styleId="7">
    <w:name w:val="Table Grid"/>
    <w:basedOn w:val="6"/>
    <w:qFormat/>
    <w:uiPriority w:val="0"/>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Strong"/>
    <w:basedOn w:val="8"/>
    <w:qFormat/>
    <w:uiPriority w:val="22"/>
    <w:rPr>
      <w:b/>
    </w:rPr>
  </w:style>
  <w:style w:type="character" w:styleId="10">
    <w:name w:val="Hyperlink"/>
    <w:basedOn w:val="8"/>
    <w:unhideWhenUsed/>
    <w:qFormat/>
    <w:uiPriority w:val="99"/>
    <w:rPr>
      <w:color w:val="0000FF"/>
      <w:u w:val="single"/>
    </w:rPr>
  </w:style>
  <w:style w:type="character" w:customStyle="1" w:styleId="11">
    <w:name w:val="批注框文本 Char"/>
    <w:basedOn w:val="8"/>
    <w:link w:val="2"/>
    <w:qFormat/>
    <w:uiPriority w:val="0"/>
    <w:rPr>
      <w:rFonts w:ascii="Calibri" w:hAnsi="Calibri" w:eastAsia="宋体" w:cs="Times New Roman"/>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442</Words>
  <Characters>617</Characters>
  <Lines>68</Lines>
  <Paragraphs>19</Paragraphs>
  <TotalTime>6</TotalTime>
  <ScaleCrop>false</ScaleCrop>
  <LinksUpToDate>false</LinksUpToDate>
  <CharactersWithSpaces>617</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2023-09-20T19:24:00Z</dcterms:created>
  <dc:creator>greatwall</dc:creator>
  <cp:lastModifiedBy>铭志……途远</cp:lastModifiedBy>
  <dcterms:modified xsi:type="dcterms:W3CDTF">2024-10-18T01:29:53Z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254BEE773201441BB811D7029C622838_13</vt:lpwstr>
  </property>
</Properties>
</file>